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山东省海洋生态环境与防灾减灾重点实验室</w:t>
      </w:r>
      <w:r>
        <w:rPr>
          <w:rFonts w:ascii="方正小标宋简体" w:hAnsi="宋体" w:eastAsia="方正小标宋简体" w:cs="宋体"/>
          <w:sz w:val="44"/>
          <w:szCs w:val="44"/>
        </w:rPr>
        <w:t>2022</w:t>
      </w:r>
      <w:r>
        <w:rPr>
          <w:rFonts w:hint="eastAsia" w:ascii="方正小标宋简体" w:hAnsi="宋体" w:eastAsia="方正小标宋简体" w:cs="宋体"/>
          <w:sz w:val="44"/>
          <w:szCs w:val="44"/>
        </w:rPr>
        <w:t>年度开放基金资助项目</w:t>
      </w:r>
    </w:p>
    <w:p>
      <w:pPr>
        <w:spacing w:after="240" w:line="7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申请指南</w:t>
      </w:r>
    </w:p>
    <w:p>
      <w:pPr>
        <w:widowControl/>
        <w:adjustRightInd w:val="0"/>
        <w:snapToGrid w:val="0"/>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山东省海洋生态环境与防灾减灾重点实验室于2009年10月经山东省科学技术厅批准建设，是一个以海洋生态环境与防灾减灾研究为特色，以促进山东省海洋生态环境保护与修复、海洋防灾减灾技术自主创新能力提高以及海洋管理水平提升为目标的实验室。实验室依托单位为国家海洋局北海预报中心，主管部门为自然资源部北海局。本实验室设立开放基金，资助支持与实验室目前主要研究方向相关的基础研究项目，接受国内外高等院校、科研机构研究人员尤其是</w:t>
      </w:r>
      <w:r>
        <w:rPr>
          <w:rFonts w:hint="eastAsia" w:ascii="仿宋" w:hAnsi="仿宋" w:eastAsia="仿宋"/>
          <w:sz w:val="32"/>
          <w:szCs w:val="32"/>
        </w:rPr>
        <w:t>中青年学者，</w:t>
      </w:r>
      <w:r>
        <w:rPr>
          <w:rFonts w:hint="eastAsia" w:ascii="仿宋" w:hAnsi="仿宋" w:eastAsia="仿宋" w:cs="宋体"/>
          <w:kern w:val="0"/>
          <w:sz w:val="32"/>
          <w:szCs w:val="32"/>
        </w:rPr>
        <w:t>通过利用实验室设备、资料，或与实验室合作的形式，从事研究工作。现进行开放基金资助项目申请工作，具体要求如下：</w:t>
      </w:r>
    </w:p>
    <w:p>
      <w:pPr>
        <w:pStyle w:val="2"/>
        <w:spacing w:before="156" w:beforeLines="50" w:after="156" w:afterLines="50" w:line="240" w:lineRule="auto"/>
        <w:ind w:firstLine="640" w:firstLineChars="200"/>
        <w:rPr>
          <w:rFonts w:ascii="黑体" w:hAnsi="黑体" w:eastAsia="黑体"/>
          <w:b w:val="0"/>
          <w:sz w:val="32"/>
          <w:szCs w:val="32"/>
        </w:rPr>
      </w:pPr>
      <w:r>
        <w:rPr>
          <w:rFonts w:hint="eastAsia" w:ascii="黑体" w:hAnsi="黑体" w:eastAsia="黑体"/>
          <w:b w:val="0"/>
          <w:sz w:val="32"/>
          <w:szCs w:val="32"/>
        </w:rPr>
        <w:t>一、</w:t>
      </w:r>
      <w:r>
        <w:rPr>
          <w:rFonts w:ascii="黑体" w:hAnsi="黑体" w:eastAsia="黑体"/>
          <w:b w:val="0"/>
          <w:sz w:val="32"/>
          <w:szCs w:val="32"/>
        </w:rPr>
        <w:t>2022</w:t>
      </w:r>
      <w:r>
        <w:rPr>
          <w:rFonts w:hint="eastAsia" w:ascii="黑体" w:hAnsi="黑体" w:eastAsia="黑体"/>
          <w:b w:val="0"/>
          <w:sz w:val="32"/>
          <w:szCs w:val="32"/>
        </w:rPr>
        <w:t>年度主要研究方向</w:t>
      </w:r>
    </w:p>
    <w:p>
      <w:pPr>
        <w:pStyle w:val="3"/>
        <w:widowControl w:val="0"/>
        <w:adjustRightInd w:val="0"/>
        <w:snapToGrid w:val="0"/>
        <w:spacing w:before="156" w:beforeLines="50" w:beforeAutospacing="0" w:after="156" w:afterLines="50" w:afterAutospacing="0" w:line="620" w:lineRule="exact"/>
        <w:ind w:firstLine="642" w:firstLineChars="200"/>
        <w:rPr>
          <w:rFonts w:ascii="楷体_GB2312" w:eastAsia="楷体_GB2312"/>
          <w:sz w:val="32"/>
          <w:szCs w:val="32"/>
        </w:rPr>
      </w:pPr>
      <w:r>
        <w:rPr>
          <w:rFonts w:hint="eastAsia" w:ascii="楷体_GB2312" w:eastAsia="楷体_GB2312"/>
          <w:sz w:val="32"/>
          <w:szCs w:val="32"/>
        </w:rPr>
        <w:t>（一） 海洋生态资源监测与评价技术研究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海洋牧场对生态资源养护修复的影响研究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海洋生态环境对海带产业的影响研究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浒苔微观繁殖体生命史及越冬能力研究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有害藻华预警监测指标体系研究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海上溢油与赤潮灾害发生关联机制研究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水母灾害对沿海工程的影响研究</w:t>
      </w:r>
    </w:p>
    <w:p>
      <w:pPr>
        <w:pStyle w:val="4"/>
        <w:keepNext w:val="0"/>
        <w:keepLines w:val="0"/>
        <w:numPr>
          <w:ilvl w:val="0"/>
          <w:numId w:val="1"/>
        </w:numPr>
        <w:spacing w:before="0" w:after="0" w:line="240" w:lineRule="auto"/>
        <w:ind w:hanging="151"/>
        <w:rPr>
          <w:rFonts w:ascii="仿宋_GB2312" w:eastAsia="仿宋_GB2312"/>
          <w:b w:val="0"/>
        </w:rPr>
      </w:pPr>
      <w:r>
        <w:rPr>
          <w:rFonts w:hint="eastAsia" w:ascii="仿宋_GB2312" w:eastAsia="仿宋_GB2312"/>
          <w:b w:val="0"/>
        </w:rPr>
        <w:t>互花米草治理技术及治理效果评估技术研究</w:t>
      </w:r>
    </w:p>
    <w:p>
      <w:pPr>
        <w:pStyle w:val="3"/>
        <w:widowControl w:val="0"/>
        <w:adjustRightInd w:val="0"/>
        <w:snapToGrid w:val="0"/>
        <w:spacing w:before="156" w:beforeLines="50" w:beforeAutospacing="0" w:after="156" w:afterLines="50" w:afterAutospacing="0" w:line="620" w:lineRule="exact"/>
        <w:ind w:firstLine="642" w:firstLineChars="200"/>
        <w:rPr>
          <w:rFonts w:ascii="楷体_GB2312" w:eastAsia="楷体_GB2312"/>
          <w:sz w:val="32"/>
          <w:szCs w:val="32"/>
        </w:rPr>
      </w:pPr>
      <w:r>
        <w:rPr>
          <w:rFonts w:hint="eastAsia" w:ascii="楷体_GB2312" w:eastAsia="楷体_GB2312"/>
          <w:sz w:val="32"/>
          <w:szCs w:val="32"/>
        </w:rPr>
        <w:t>（二）海洋灾害预测预警技术研究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全球气候变化背景下山东沿海海洋灾害研究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渤黄海海洋灾害天气系统气候特征分析研究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影响山东海域的爆发性气旋研究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风暴潮过程数值模拟及参数化方案研究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半封闭海域波浪数值模式参数化方案研究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海洋数值预报产品释用研究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基于卫星遥感的浒苔绿潮生物量反演技术研究</w:t>
      </w:r>
    </w:p>
    <w:p>
      <w:pPr>
        <w:pStyle w:val="4"/>
        <w:keepNext w:val="0"/>
        <w:keepLines w:val="0"/>
        <w:numPr>
          <w:ilvl w:val="0"/>
          <w:numId w:val="2"/>
        </w:numPr>
        <w:spacing w:before="0" w:after="0" w:line="240" w:lineRule="auto"/>
        <w:ind w:hanging="151"/>
        <w:rPr>
          <w:rFonts w:ascii="仿宋_GB2312" w:eastAsia="仿宋_GB2312"/>
          <w:b w:val="0"/>
        </w:rPr>
      </w:pPr>
      <w:r>
        <w:rPr>
          <w:rFonts w:hint="eastAsia" w:ascii="仿宋_GB2312" w:eastAsia="仿宋_GB2312"/>
          <w:b w:val="0"/>
        </w:rPr>
        <w:t>赤潮暴发过程生态模拟技术研究</w:t>
      </w:r>
    </w:p>
    <w:p>
      <w:pPr>
        <w:pStyle w:val="3"/>
        <w:widowControl w:val="0"/>
        <w:adjustRightInd w:val="0"/>
        <w:snapToGrid w:val="0"/>
        <w:spacing w:before="156" w:beforeLines="50" w:beforeAutospacing="0" w:after="156" w:afterLines="50" w:afterAutospacing="0" w:line="620" w:lineRule="exact"/>
        <w:ind w:firstLine="642" w:firstLineChars="200"/>
        <w:rPr>
          <w:rFonts w:ascii="楷体_GB2312" w:eastAsia="楷体_GB2312"/>
          <w:sz w:val="32"/>
          <w:szCs w:val="32"/>
        </w:rPr>
      </w:pPr>
      <w:r>
        <w:rPr>
          <w:rFonts w:hint="eastAsia" w:ascii="楷体_GB2312" w:eastAsia="楷体_GB2312"/>
          <w:sz w:val="32"/>
          <w:szCs w:val="32"/>
        </w:rPr>
        <w:t>（三）海洋管理与信息技术研究</w:t>
      </w:r>
    </w:p>
    <w:p>
      <w:pPr>
        <w:pStyle w:val="4"/>
        <w:keepNext w:val="0"/>
        <w:keepLines w:val="0"/>
        <w:numPr>
          <w:ilvl w:val="0"/>
          <w:numId w:val="3"/>
        </w:numPr>
        <w:spacing w:before="0" w:after="0" w:line="240" w:lineRule="auto"/>
        <w:ind w:hanging="151"/>
        <w:rPr>
          <w:rFonts w:ascii="仿宋_GB2312" w:eastAsia="仿宋_GB2312"/>
          <w:b w:val="0"/>
        </w:rPr>
      </w:pPr>
      <w:r>
        <w:rPr>
          <w:rFonts w:hint="eastAsia" w:ascii="仿宋_GB2312" w:eastAsia="仿宋_GB2312"/>
          <w:b w:val="0"/>
        </w:rPr>
        <w:t>信息处理技术在围填海综合管控中的应用研究</w:t>
      </w:r>
    </w:p>
    <w:p>
      <w:pPr>
        <w:pStyle w:val="4"/>
        <w:keepNext w:val="0"/>
        <w:keepLines w:val="0"/>
        <w:numPr>
          <w:ilvl w:val="0"/>
          <w:numId w:val="3"/>
        </w:numPr>
        <w:spacing w:before="0" w:after="0" w:line="240" w:lineRule="auto"/>
        <w:ind w:hanging="151"/>
        <w:rPr>
          <w:rFonts w:ascii="仿宋_GB2312" w:eastAsia="仿宋_GB2312"/>
          <w:b w:val="0"/>
        </w:rPr>
      </w:pPr>
      <w:r>
        <w:rPr>
          <w:rFonts w:hint="eastAsia" w:ascii="仿宋_GB2312" w:eastAsia="仿宋_GB2312"/>
          <w:b w:val="0"/>
        </w:rPr>
        <w:t>多源卫星绿潮监测信息融合技术研究</w:t>
      </w:r>
    </w:p>
    <w:p>
      <w:pPr>
        <w:pStyle w:val="4"/>
        <w:keepNext w:val="0"/>
        <w:keepLines w:val="0"/>
        <w:numPr>
          <w:ilvl w:val="0"/>
          <w:numId w:val="3"/>
        </w:numPr>
        <w:spacing w:before="0" w:after="0" w:line="240" w:lineRule="auto"/>
        <w:ind w:hanging="151"/>
        <w:rPr>
          <w:rFonts w:ascii="仿宋_GB2312" w:eastAsia="仿宋_GB2312"/>
          <w:b w:val="0"/>
        </w:rPr>
      </w:pPr>
      <w:r>
        <w:rPr>
          <w:rFonts w:hint="eastAsia" w:ascii="仿宋_GB2312" w:eastAsia="仿宋_GB2312"/>
          <w:b w:val="0"/>
        </w:rPr>
        <w:t>卫星遥感影像批量处理技术研究</w:t>
      </w:r>
    </w:p>
    <w:p>
      <w:pPr>
        <w:pStyle w:val="4"/>
        <w:keepNext w:val="0"/>
        <w:keepLines w:val="0"/>
        <w:numPr>
          <w:ilvl w:val="0"/>
          <w:numId w:val="3"/>
        </w:numPr>
        <w:spacing w:before="0" w:after="0" w:line="240" w:lineRule="auto"/>
        <w:ind w:hanging="151"/>
        <w:rPr>
          <w:rFonts w:ascii="仿宋_GB2312" w:eastAsia="仿宋_GB2312"/>
          <w:b w:val="0"/>
        </w:rPr>
      </w:pPr>
      <w:r>
        <w:rPr>
          <w:rFonts w:hint="eastAsia" w:ascii="仿宋_GB2312" w:eastAsia="仿宋_GB2312"/>
          <w:b w:val="0"/>
        </w:rPr>
        <w:t>雷达数据在绿潮监测预警中的应用研究</w:t>
      </w:r>
    </w:p>
    <w:p>
      <w:pPr>
        <w:pStyle w:val="4"/>
        <w:keepNext w:val="0"/>
        <w:keepLines w:val="0"/>
        <w:numPr>
          <w:ilvl w:val="0"/>
          <w:numId w:val="3"/>
        </w:numPr>
        <w:spacing w:before="0" w:after="0" w:line="240" w:lineRule="auto"/>
        <w:ind w:hanging="151"/>
        <w:rPr>
          <w:rFonts w:hint="eastAsia" w:ascii="仿宋_GB2312" w:eastAsia="仿宋_GB2312"/>
          <w:b w:val="0"/>
        </w:rPr>
      </w:pPr>
      <w:r>
        <w:rPr>
          <w:rFonts w:hint="eastAsia" w:ascii="仿宋_GB2312" w:eastAsia="仿宋_GB2312"/>
          <w:b w:val="0"/>
        </w:rPr>
        <w:t>船舶动态监管技术研究</w:t>
      </w:r>
    </w:p>
    <w:p>
      <w:pPr>
        <w:pStyle w:val="4"/>
        <w:keepNext w:val="0"/>
        <w:keepLines w:val="0"/>
        <w:numPr>
          <w:ilvl w:val="0"/>
          <w:numId w:val="3"/>
        </w:numPr>
        <w:spacing w:before="0" w:after="0" w:line="240" w:lineRule="auto"/>
        <w:ind w:hanging="151"/>
        <w:rPr>
          <w:rFonts w:hint="eastAsia" w:ascii="仿宋_GB2312" w:eastAsia="仿宋_GB2312"/>
          <w:b w:val="0"/>
        </w:rPr>
      </w:pPr>
      <w:r>
        <w:rPr>
          <w:rFonts w:hint="eastAsia" w:ascii="仿宋_GB2312" w:eastAsia="仿宋_GB2312"/>
          <w:b w:val="0"/>
        </w:rPr>
        <w:t>海域立体分层在海域使用管理中的应用研究</w:t>
      </w:r>
    </w:p>
    <w:p>
      <w:pPr>
        <w:keepNext w:val="0"/>
        <w:keepLines w:val="0"/>
        <w:pageBreakBefore w:val="0"/>
        <w:widowControl w:val="0"/>
        <w:kinsoku/>
        <w:wordWrap/>
        <w:overflowPunct/>
        <w:topLinePunct w:val="0"/>
        <w:autoSpaceDE/>
        <w:autoSpaceDN/>
        <w:bidi w:val="0"/>
        <w:adjustRightInd/>
        <w:snapToGrid/>
        <w:ind w:left="638" w:leftChars="304" w:firstLine="320" w:firstLineChars="100"/>
        <w:textAlignment w:val="auto"/>
        <w:rPr>
          <w:rFonts w:hint="eastAsia" w:ascii="黑体" w:hAnsi="黑体" w:eastAsia="黑体" w:cs="Times New Roman"/>
          <w:b w:val="0"/>
          <w:bCs/>
          <w:kern w:val="44"/>
          <w:sz w:val="32"/>
          <w:szCs w:val="32"/>
          <w:lang w:val="en-US" w:eastAsia="zh-CN" w:bidi="ar-SA"/>
        </w:rPr>
      </w:pPr>
      <w:r>
        <w:rPr>
          <w:rFonts w:hint="eastAsia" w:ascii="黑体" w:hAnsi="黑体" w:eastAsia="黑体" w:cs="Times New Roman"/>
          <w:b w:val="0"/>
          <w:bCs/>
          <w:kern w:val="44"/>
          <w:sz w:val="32"/>
          <w:szCs w:val="32"/>
          <w:lang w:val="en-US" w:eastAsia="zh-CN" w:bidi="ar-SA"/>
        </w:rPr>
        <w:t>二、申请须知</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（一）开放课题主要资助对象为具有中级专业技术职称或至少具有硕士学位的科研人员</w:t>
      </w:r>
      <w:bookmarkStart w:id="0" w:name="_GoBack"/>
      <w:bookmarkEnd w:id="0"/>
      <w:r>
        <w:rPr>
          <w:rFonts w:hint="eastAsia" w:ascii="仿宋" w:hAnsi="仿宋" w:eastAsia="仿宋" w:cs="宋体"/>
          <w:kern w:val="0"/>
          <w:sz w:val="32"/>
          <w:szCs w:val="32"/>
        </w:rPr>
        <w:t>。申请者须与实验室依托单位的一名人员合作。</w:t>
      </w:r>
    </w:p>
    <w:p>
      <w:pPr>
        <w:widowControl/>
        <w:adjustRightInd w:val="0"/>
        <w:snapToGrid w:val="0"/>
        <w:spacing w:line="62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（二）开放课题鼓励中级专业技术职称及以上的科研、技术人员来实验室从事短期研究工作。</w:t>
      </w:r>
    </w:p>
    <w:p>
      <w:pPr>
        <w:widowControl/>
        <w:adjustRightInd w:val="0"/>
        <w:snapToGrid w:val="0"/>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w:t>
      </w:r>
      <w:r>
        <w:rPr>
          <w:rFonts w:hint="eastAsia" w:ascii="仿宋" w:hAnsi="仿宋" w:eastAsia="仿宋" w:cs="宋体"/>
          <w:kern w:val="0"/>
          <w:sz w:val="32"/>
          <w:szCs w:val="32"/>
        </w:rPr>
        <w:t>申请者同期</w:t>
      </w:r>
      <w:r>
        <w:rPr>
          <w:rFonts w:hint="eastAsia" w:ascii="仿宋" w:hAnsi="仿宋" w:eastAsia="仿宋" w:cs="宋体"/>
          <w:kern w:val="0"/>
          <w:sz w:val="32"/>
          <w:szCs w:val="32"/>
        </w:rPr>
        <w:t>只能申请一项开放</w:t>
      </w:r>
      <w:r>
        <w:rPr>
          <w:rFonts w:ascii="仿宋" w:hAnsi="仿宋" w:eastAsia="仿宋" w:cs="宋体"/>
          <w:kern w:val="0"/>
          <w:sz w:val="32"/>
          <w:szCs w:val="32"/>
        </w:rPr>
        <w:t>课题，已获得开放课题资助的人员在开放课题结题前不能继续申请。</w:t>
      </w:r>
    </w:p>
    <w:p>
      <w:pPr>
        <w:widowControl/>
        <w:adjustRightInd w:val="0"/>
        <w:snapToGrid w:val="0"/>
        <w:spacing w:line="360" w:lineRule="auto"/>
        <w:ind w:firstLine="640" w:firstLineChars="200"/>
        <w:jc w:val="left"/>
        <w:rPr>
          <w:rFonts w:ascii="仿宋" w:hAnsi="仿宋" w:eastAsia="仿宋"/>
          <w:sz w:val="32"/>
          <w:szCs w:val="32"/>
          <w:lang w:val="it-IT"/>
        </w:rPr>
      </w:pPr>
      <w:r>
        <w:rPr>
          <w:rFonts w:hint="eastAsia" w:ascii="仿宋" w:hAnsi="仿宋" w:eastAsia="仿宋" w:cs="宋体"/>
          <w:kern w:val="0"/>
          <w:sz w:val="32"/>
          <w:szCs w:val="32"/>
        </w:rPr>
        <w:t>（四</w:t>
      </w:r>
      <w:r>
        <w:rPr>
          <w:rFonts w:ascii="仿宋" w:hAnsi="仿宋" w:eastAsia="仿宋" w:cs="宋体"/>
          <w:kern w:val="0"/>
          <w:sz w:val="32"/>
          <w:szCs w:val="32"/>
        </w:rPr>
        <w:t>）</w:t>
      </w:r>
      <w:r>
        <w:rPr>
          <w:rFonts w:hint="eastAsia" w:ascii="仿宋" w:hAnsi="仿宋" w:eastAsia="仿宋" w:cs="宋体"/>
          <w:kern w:val="0"/>
          <w:sz w:val="32"/>
          <w:szCs w:val="32"/>
        </w:rPr>
        <w:t>申请者可以从实验室网站查看申请指南和下载申请书，并根据本实验室的主要研究内容范围提出申请。</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it-IT"/>
        </w:rPr>
        <w:t>（五）</w:t>
      </w:r>
      <w:r>
        <w:rPr>
          <w:rFonts w:hint="eastAsia" w:ascii="仿宋" w:hAnsi="仿宋" w:eastAsia="仿宋" w:cs="宋体"/>
          <w:kern w:val="0"/>
          <w:sz w:val="32"/>
          <w:szCs w:val="32"/>
        </w:rPr>
        <w:t>申请者需按要求认真填写申请书，本实验室优先资助立论清晰、目标明确、研究内容具体、具有创新科学意义的研究课题。</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（六）开放课题</w:t>
      </w:r>
      <w:r>
        <w:rPr>
          <w:rFonts w:ascii="仿宋" w:hAnsi="仿宋" w:eastAsia="仿宋" w:cs="宋体"/>
          <w:kern w:val="0"/>
          <w:sz w:val="32"/>
          <w:szCs w:val="32"/>
        </w:rPr>
        <w:t>分重点课题和一般课题</w:t>
      </w:r>
      <w:r>
        <w:rPr>
          <w:rFonts w:hint="eastAsia" w:ascii="仿宋" w:hAnsi="仿宋" w:eastAsia="仿宋" w:cs="宋体"/>
          <w:kern w:val="0"/>
          <w:sz w:val="32"/>
          <w:szCs w:val="32"/>
        </w:rPr>
        <w:t>，</w:t>
      </w:r>
      <w:r>
        <w:rPr>
          <w:rFonts w:ascii="仿宋" w:hAnsi="仿宋" w:eastAsia="仿宋" w:cs="宋体"/>
          <w:kern w:val="0"/>
          <w:sz w:val="32"/>
          <w:szCs w:val="32"/>
        </w:rPr>
        <w:t>资助</w:t>
      </w:r>
      <w:r>
        <w:rPr>
          <w:rFonts w:hint="eastAsia" w:ascii="仿宋" w:hAnsi="仿宋" w:eastAsia="仿宋" w:cs="宋体"/>
          <w:kern w:val="0"/>
          <w:sz w:val="32"/>
          <w:szCs w:val="32"/>
        </w:rPr>
        <w:t>时间一般为</w:t>
      </w: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年。2</w:t>
      </w:r>
      <w:r>
        <w:rPr>
          <w:rFonts w:ascii="仿宋" w:hAnsi="仿宋" w:eastAsia="仿宋" w:cs="宋体"/>
          <w:kern w:val="0"/>
          <w:sz w:val="32"/>
          <w:szCs w:val="32"/>
        </w:rPr>
        <w:t>022</w:t>
      </w:r>
      <w:r>
        <w:rPr>
          <w:rFonts w:hint="eastAsia" w:ascii="仿宋" w:hAnsi="仿宋" w:eastAsia="仿宋" w:cs="宋体"/>
          <w:kern w:val="0"/>
          <w:sz w:val="32"/>
          <w:szCs w:val="32"/>
        </w:rPr>
        <w:t>年</w:t>
      </w:r>
      <w:r>
        <w:rPr>
          <w:rFonts w:ascii="仿宋" w:hAnsi="仿宋" w:eastAsia="仿宋" w:cs="宋体"/>
          <w:kern w:val="0"/>
          <w:sz w:val="32"/>
          <w:szCs w:val="32"/>
        </w:rPr>
        <w:t>拟资助重点课题</w:t>
      </w:r>
      <w:r>
        <w:rPr>
          <w:rFonts w:hint="eastAsia" w:ascii="仿宋" w:hAnsi="仿宋" w:eastAsia="仿宋" w:cs="宋体"/>
          <w:kern w:val="0"/>
          <w:sz w:val="32"/>
          <w:szCs w:val="32"/>
        </w:rPr>
        <w:t>1～2项</w:t>
      </w:r>
      <w:r>
        <w:rPr>
          <w:rFonts w:ascii="仿宋" w:hAnsi="仿宋" w:eastAsia="仿宋" w:cs="宋体"/>
          <w:kern w:val="0"/>
          <w:sz w:val="32"/>
          <w:szCs w:val="32"/>
        </w:rPr>
        <w:t>，</w:t>
      </w:r>
      <w:r>
        <w:rPr>
          <w:rFonts w:hint="eastAsia" w:ascii="仿宋" w:hAnsi="仿宋" w:eastAsia="仿宋" w:cs="宋体"/>
          <w:kern w:val="0"/>
          <w:sz w:val="32"/>
          <w:szCs w:val="32"/>
        </w:rPr>
        <w:t>每项金额4～6万元；一般</w:t>
      </w:r>
      <w:r>
        <w:rPr>
          <w:rFonts w:ascii="仿宋" w:hAnsi="仿宋" w:eastAsia="仿宋" w:cs="宋体"/>
          <w:kern w:val="0"/>
          <w:sz w:val="32"/>
          <w:szCs w:val="32"/>
        </w:rPr>
        <w:t>课题</w:t>
      </w:r>
      <w:r>
        <w:rPr>
          <w:rFonts w:hint="eastAsia" w:ascii="仿宋" w:hAnsi="仿宋" w:eastAsia="仿宋" w:cs="宋体"/>
          <w:kern w:val="0"/>
          <w:sz w:val="32"/>
          <w:szCs w:val="32"/>
        </w:rPr>
        <w:t>4～8项</w:t>
      </w:r>
      <w:r>
        <w:rPr>
          <w:rFonts w:ascii="仿宋" w:hAnsi="仿宋" w:eastAsia="仿宋" w:cs="宋体"/>
          <w:kern w:val="0"/>
          <w:sz w:val="32"/>
          <w:szCs w:val="32"/>
        </w:rPr>
        <w:t>，</w:t>
      </w:r>
      <w:r>
        <w:rPr>
          <w:rFonts w:hint="eastAsia" w:ascii="仿宋" w:hAnsi="仿宋" w:eastAsia="仿宋" w:cs="宋体"/>
          <w:kern w:val="0"/>
          <w:sz w:val="32"/>
          <w:szCs w:val="32"/>
        </w:rPr>
        <w:t>资助金额</w:t>
      </w:r>
      <w:r>
        <w:rPr>
          <w:rFonts w:ascii="仿宋" w:hAnsi="仿宋" w:eastAsia="仿宋" w:cs="宋体"/>
          <w:kern w:val="0"/>
          <w:sz w:val="32"/>
          <w:szCs w:val="32"/>
        </w:rPr>
        <w:t>2</w:t>
      </w: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万元。</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（七）申请人须仔细阅读《山东省海洋生态环境与防灾减灾重点实验室管理与运行暂行办法》，并按办法要求定期</w:t>
      </w:r>
      <w:r>
        <w:rPr>
          <w:rFonts w:ascii="仿宋" w:hAnsi="仿宋" w:eastAsia="仿宋" w:cs="宋体"/>
          <w:kern w:val="0"/>
          <w:sz w:val="32"/>
          <w:szCs w:val="32"/>
        </w:rPr>
        <w:t>提交</w:t>
      </w:r>
      <w:r>
        <w:rPr>
          <w:rFonts w:hint="eastAsia" w:ascii="仿宋" w:hAnsi="仿宋" w:eastAsia="仿宋" w:cs="宋体"/>
          <w:kern w:val="0"/>
          <w:sz w:val="32"/>
          <w:szCs w:val="32"/>
        </w:rPr>
        <w:t>年度</w:t>
      </w:r>
      <w:r>
        <w:rPr>
          <w:rFonts w:ascii="仿宋" w:hAnsi="仿宋" w:eastAsia="仿宋" w:cs="宋体"/>
          <w:kern w:val="0"/>
          <w:sz w:val="32"/>
          <w:szCs w:val="32"/>
        </w:rPr>
        <w:t>工作进展报告</w:t>
      </w:r>
      <w:r>
        <w:rPr>
          <w:rFonts w:hint="eastAsia" w:ascii="仿宋" w:hAnsi="仿宋" w:eastAsia="仿宋" w:cs="宋体"/>
          <w:kern w:val="0"/>
          <w:sz w:val="32"/>
          <w:szCs w:val="32"/>
        </w:rPr>
        <w:t>；课题结束时，应提交研究课题</w:t>
      </w:r>
      <w:r>
        <w:rPr>
          <w:rFonts w:ascii="仿宋" w:hAnsi="仿宋" w:eastAsia="仿宋" w:cs="宋体"/>
          <w:kern w:val="0"/>
          <w:sz w:val="32"/>
          <w:szCs w:val="32"/>
        </w:rPr>
        <w:t>结题报告</w:t>
      </w:r>
      <w:r>
        <w:rPr>
          <w:rFonts w:hint="eastAsia" w:ascii="仿宋" w:hAnsi="仿宋" w:eastAsia="仿宋" w:cs="宋体"/>
          <w:kern w:val="0"/>
          <w:sz w:val="32"/>
          <w:szCs w:val="32"/>
        </w:rPr>
        <w:t>、</w:t>
      </w:r>
      <w:r>
        <w:rPr>
          <w:rFonts w:ascii="仿宋" w:hAnsi="仿宋" w:eastAsia="仿宋" w:cs="宋体"/>
          <w:kern w:val="0"/>
          <w:sz w:val="32"/>
          <w:szCs w:val="32"/>
        </w:rPr>
        <w:t>科研成果</w:t>
      </w:r>
      <w:r>
        <w:rPr>
          <w:rFonts w:hint="eastAsia" w:ascii="仿宋" w:hAnsi="仿宋" w:eastAsia="仿宋" w:cs="宋体"/>
          <w:kern w:val="0"/>
          <w:sz w:val="32"/>
          <w:szCs w:val="32"/>
        </w:rPr>
        <w:t>及转化应用情况</w:t>
      </w:r>
      <w:r>
        <w:rPr>
          <w:rFonts w:ascii="仿宋" w:hAnsi="仿宋" w:eastAsia="仿宋" w:cs="宋体"/>
          <w:kern w:val="0"/>
          <w:sz w:val="32"/>
          <w:szCs w:val="32"/>
        </w:rPr>
        <w:t>报</w:t>
      </w:r>
      <w:r>
        <w:rPr>
          <w:rFonts w:hint="eastAsia" w:ascii="仿宋" w:hAnsi="仿宋" w:eastAsia="仿宋" w:cs="宋体"/>
          <w:kern w:val="0"/>
          <w:sz w:val="32"/>
          <w:szCs w:val="32"/>
        </w:rPr>
        <w:t>告；课题结题之前至少在国家一级学会学报以上刊物发表与研究内容相关的论文</w:t>
      </w:r>
      <w:r>
        <w:rPr>
          <w:rFonts w:ascii="仿宋" w:hAnsi="仿宋" w:eastAsia="仿宋" w:cs="宋体"/>
          <w:kern w:val="0"/>
          <w:sz w:val="32"/>
          <w:szCs w:val="32"/>
        </w:rPr>
        <w:t>1</w:t>
      </w:r>
      <w:r>
        <w:rPr>
          <w:rFonts w:hint="eastAsia" w:ascii="仿宋" w:hAnsi="仿宋" w:eastAsia="仿宋" w:cs="宋体"/>
          <w:kern w:val="0"/>
          <w:sz w:val="32"/>
          <w:szCs w:val="32"/>
        </w:rPr>
        <w:t>篇。</w:t>
      </w:r>
    </w:p>
    <w:p>
      <w:pPr>
        <w:widowControl/>
        <w:adjustRightInd w:val="0"/>
        <w:snapToGrid w:val="0"/>
        <w:spacing w:line="360" w:lineRule="auto"/>
        <w:ind w:firstLine="624" w:firstLineChars="200"/>
        <w:jc w:val="left"/>
        <w:rPr>
          <w:rFonts w:ascii="仿宋" w:hAnsi="仿宋" w:eastAsia="仿宋" w:cs="宋体"/>
          <w:spacing w:val="-4"/>
          <w:kern w:val="0"/>
          <w:sz w:val="32"/>
          <w:szCs w:val="32"/>
        </w:rPr>
      </w:pPr>
      <w:r>
        <w:rPr>
          <w:rFonts w:hint="eastAsia" w:ascii="仿宋" w:hAnsi="仿宋" w:eastAsia="仿宋" w:cs="宋体"/>
          <w:spacing w:val="-4"/>
          <w:kern w:val="0"/>
          <w:sz w:val="32"/>
          <w:szCs w:val="32"/>
        </w:rPr>
        <w:t>（八）开放基金资助项目取得的研究成果，由学术委员会组织评审，成果归实验室和研究人员所在单位共享（或按协议分享），成果鉴定和报奖由本实验室与研究人员所在单位共同办理。如申请专利，按专利法有关规定办理。获资助项目发表论文时，必须注明为山东省海洋生态环境与防灾减灾重点实验室资助项目。</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（九）请申请者登录</w:t>
      </w:r>
      <w:r>
        <w:rPr>
          <w:rFonts w:hint="eastAsia" w:ascii="仿宋" w:hAnsi="仿宋" w:eastAsia="仿宋" w:cs="宋体"/>
          <w:b/>
          <w:kern w:val="0"/>
          <w:sz w:val="32"/>
          <w:szCs w:val="32"/>
        </w:rPr>
        <w:t>科技项目申报管理系统</w:t>
      </w:r>
      <w:r>
        <w:rPr>
          <w:rFonts w:hint="eastAsia" w:ascii="仿宋" w:hAnsi="仿宋" w:eastAsia="仿宋" w:cs="宋体"/>
          <w:kern w:val="0"/>
          <w:sz w:val="32"/>
          <w:szCs w:val="32"/>
        </w:rPr>
        <w:t>（网址</w:t>
      </w:r>
      <w:r>
        <w:rPr>
          <w:rFonts w:hint="eastAsia" w:ascii="仿宋" w:hAnsi="仿宋" w:eastAsia="仿宋" w:cs="宋体"/>
          <w:b/>
          <w:kern w:val="0"/>
          <w:sz w:val="28"/>
          <w:szCs w:val="32"/>
          <w:u w:val="single"/>
        </w:rPr>
        <w:t>https://123.234.129.75:8001/login.html</w:t>
      </w:r>
      <w:r>
        <w:rPr>
          <w:rFonts w:hint="eastAsia" w:ascii="仿宋" w:hAnsi="仿宋" w:eastAsia="仿宋" w:cs="宋体"/>
          <w:kern w:val="0"/>
          <w:sz w:val="28"/>
          <w:szCs w:val="32"/>
        </w:rPr>
        <w:t>）</w:t>
      </w:r>
      <w:r>
        <w:rPr>
          <w:rFonts w:hint="eastAsia" w:ascii="仿宋" w:hAnsi="仿宋" w:eastAsia="仿宋" w:cs="宋体"/>
          <w:kern w:val="0"/>
          <w:sz w:val="32"/>
          <w:szCs w:val="32"/>
        </w:rPr>
        <w:t>注册后按要求申报。同时将经本单位签章同意后的申请书（详见附件）纸质材料一份，于</w:t>
      </w:r>
      <w:r>
        <w:rPr>
          <w:rFonts w:ascii="仿宋" w:hAnsi="仿宋" w:eastAsia="仿宋" w:cs="宋体"/>
          <w:kern w:val="0"/>
          <w:sz w:val="32"/>
          <w:szCs w:val="32"/>
        </w:rPr>
        <w:t>2022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月</w:t>
      </w:r>
      <w:r>
        <w:rPr>
          <w:rFonts w:ascii="仿宋" w:hAnsi="仿宋" w:eastAsia="仿宋" w:cs="宋体"/>
          <w:kern w:val="0"/>
          <w:sz w:val="32"/>
          <w:szCs w:val="32"/>
        </w:rPr>
        <w:t>5</w:t>
      </w:r>
      <w:r>
        <w:rPr>
          <w:rFonts w:hint="eastAsia" w:ascii="仿宋" w:hAnsi="仿宋" w:eastAsia="仿宋" w:cs="宋体"/>
          <w:kern w:val="0"/>
          <w:sz w:val="32"/>
          <w:szCs w:val="32"/>
        </w:rPr>
        <w:t>日前通过</w:t>
      </w:r>
      <w:r>
        <w:rPr>
          <w:rFonts w:ascii="仿宋" w:hAnsi="仿宋" w:eastAsia="仿宋" w:cs="宋体"/>
          <w:kern w:val="0"/>
          <w:sz w:val="32"/>
          <w:szCs w:val="32"/>
        </w:rPr>
        <w:t>EMS</w:t>
      </w:r>
      <w:r>
        <w:rPr>
          <w:rFonts w:hint="eastAsia" w:ascii="仿宋" w:hAnsi="仿宋" w:eastAsia="仿宋" w:cs="宋体"/>
          <w:kern w:val="0"/>
          <w:sz w:val="32"/>
          <w:szCs w:val="32"/>
        </w:rPr>
        <w:t>邮寄或送至本实验室。</w:t>
      </w:r>
    </w:p>
    <w:p>
      <w:pPr>
        <w:pStyle w:val="2"/>
        <w:spacing w:before="0" w:after="0" w:line="360" w:lineRule="auto"/>
        <w:ind w:firstLine="640" w:firstLineChars="200"/>
        <w:rPr>
          <w:rFonts w:ascii="黑体" w:hAnsi="黑体" w:eastAsia="黑体"/>
          <w:b w:val="0"/>
          <w:sz w:val="32"/>
          <w:szCs w:val="32"/>
        </w:rPr>
      </w:pPr>
      <w:r>
        <w:rPr>
          <w:rFonts w:hint="eastAsia" w:ascii="黑体" w:hAnsi="黑体" w:eastAsia="黑体"/>
          <w:b w:val="0"/>
          <w:sz w:val="32"/>
          <w:szCs w:val="32"/>
        </w:rPr>
        <w:t>三、联系方法</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地</w:t>
      </w:r>
      <w:r>
        <w:rPr>
          <w:rFonts w:ascii="仿宋" w:hAnsi="仿宋" w:eastAsia="仿宋" w:cs="宋体"/>
          <w:kern w:val="0"/>
          <w:sz w:val="32"/>
          <w:szCs w:val="32"/>
        </w:rPr>
        <w:t xml:space="preserve">    </w:t>
      </w:r>
      <w:r>
        <w:rPr>
          <w:rFonts w:hint="eastAsia" w:ascii="仿宋" w:hAnsi="仿宋" w:eastAsia="仿宋" w:cs="宋体"/>
          <w:kern w:val="0"/>
          <w:sz w:val="32"/>
          <w:szCs w:val="32"/>
        </w:rPr>
        <w:t>址：山东省青岛市崂山区云岭路</w:t>
      </w:r>
      <w:r>
        <w:rPr>
          <w:rFonts w:ascii="仿宋" w:hAnsi="仿宋" w:eastAsia="仿宋" w:cs="宋体"/>
          <w:kern w:val="0"/>
          <w:sz w:val="32"/>
          <w:szCs w:val="32"/>
        </w:rPr>
        <w:t>27</w:t>
      </w:r>
      <w:r>
        <w:rPr>
          <w:rFonts w:hint="eastAsia" w:ascii="仿宋" w:hAnsi="仿宋" w:eastAsia="仿宋" w:cs="宋体"/>
          <w:kern w:val="0"/>
          <w:sz w:val="32"/>
          <w:szCs w:val="32"/>
        </w:rPr>
        <w:t>号</w:t>
      </w:r>
      <w:r>
        <w:rPr>
          <w:rFonts w:ascii="仿宋" w:hAnsi="仿宋" w:eastAsia="仿宋" w:cs="宋体"/>
          <w:kern w:val="0"/>
          <w:sz w:val="32"/>
          <w:szCs w:val="32"/>
        </w:rPr>
        <w:t xml:space="preserve"> </w:t>
      </w:r>
    </w:p>
    <w:p>
      <w:pPr>
        <w:widowControl/>
        <w:adjustRightInd w:val="0"/>
        <w:snapToGrid w:val="0"/>
        <w:spacing w:line="360" w:lineRule="auto"/>
        <w:ind w:firstLine="2265" w:firstLineChars="708"/>
        <w:jc w:val="left"/>
        <w:rPr>
          <w:rFonts w:ascii="仿宋" w:hAnsi="仿宋" w:eastAsia="仿宋" w:cs="宋体"/>
          <w:kern w:val="0"/>
          <w:sz w:val="32"/>
          <w:szCs w:val="32"/>
        </w:rPr>
      </w:pPr>
      <w:r>
        <w:rPr>
          <w:rFonts w:hint="eastAsia" w:ascii="仿宋" w:hAnsi="仿宋" w:eastAsia="仿宋" w:cs="宋体"/>
          <w:kern w:val="0"/>
          <w:sz w:val="32"/>
          <w:szCs w:val="32"/>
        </w:rPr>
        <w:t>山东省海洋生态环境与防灾减灾重点实验室</w:t>
      </w:r>
    </w:p>
    <w:p>
      <w:pPr>
        <w:widowControl/>
        <w:adjustRightInd w:val="0"/>
        <w:snapToGrid w:val="0"/>
        <w:spacing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邮</w:t>
      </w:r>
      <w:r>
        <w:rPr>
          <w:rFonts w:ascii="仿宋" w:hAnsi="仿宋" w:eastAsia="仿宋" w:cs="宋体"/>
          <w:kern w:val="0"/>
          <w:sz w:val="32"/>
          <w:szCs w:val="32"/>
        </w:rPr>
        <w:t xml:space="preserve">    </w:t>
      </w:r>
      <w:r>
        <w:rPr>
          <w:rFonts w:hint="eastAsia" w:ascii="仿宋" w:hAnsi="仿宋" w:eastAsia="仿宋" w:cs="宋体"/>
          <w:kern w:val="0"/>
          <w:sz w:val="32"/>
          <w:szCs w:val="32"/>
        </w:rPr>
        <w:t>编：</w:t>
      </w:r>
      <w:r>
        <w:rPr>
          <w:rFonts w:ascii="仿宋" w:hAnsi="仿宋" w:eastAsia="仿宋" w:cs="宋体"/>
          <w:kern w:val="0"/>
          <w:sz w:val="32"/>
          <w:szCs w:val="32"/>
        </w:rPr>
        <w:t xml:space="preserve">266061     </w:t>
      </w:r>
      <w:r>
        <w:rPr>
          <w:rFonts w:hint="eastAsia" w:ascii="仿宋" w:hAnsi="仿宋" w:eastAsia="仿宋" w:cs="宋体"/>
          <w:kern w:val="0"/>
          <w:sz w:val="32"/>
          <w:szCs w:val="32"/>
        </w:rPr>
        <w:t>联系电话：</w:t>
      </w:r>
      <w:r>
        <w:rPr>
          <w:rFonts w:ascii="仿宋" w:hAnsi="仿宋" w:eastAsia="仿宋" w:cs="宋体"/>
          <w:kern w:val="0"/>
          <w:sz w:val="32"/>
          <w:szCs w:val="32"/>
        </w:rPr>
        <w:t>0532-58750617</w:t>
      </w:r>
    </w:p>
    <w:p>
      <w:pPr>
        <w:widowControl/>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联</w:t>
      </w:r>
      <w:r>
        <w:rPr>
          <w:rFonts w:ascii="仿宋" w:hAnsi="仿宋" w:eastAsia="仿宋" w:cs="宋体"/>
          <w:kern w:val="0"/>
          <w:sz w:val="32"/>
          <w:szCs w:val="32"/>
        </w:rPr>
        <w:t xml:space="preserve"> </w:t>
      </w:r>
      <w:r>
        <w:rPr>
          <w:rFonts w:hint="eastAsia" w:ascii="仿宋" w:hAnsi="仿宋" w:eastAsia="仿宋" w:cs="宋体"/>
          <w:kern w:val="0"/>
          <w:sz w:val="32"/>
          <w:szCs w:val="32"/>
        </w:rPr>
        <w:t>系</w:t>
      </w:r>
      <w:r>
        <w:rPr>
          <w:rFonts w:ascii="仿宋" w:hAnsi="仿宋" w:eastAsia="仿宋" w:cs="宋体"/>
          <w:kern w:val="0"/>
          <w:sz w:val="32"/>
          <w:szCs w:val="32"/>
        </w:rPr>
        <w:t xml:space="preserve"> </w:t>
      </w:r>
      <w:r>
        <w:rPr>
          <w:rFonts w:hint="eastAsia" w:ascii="仿宋" w:hAnsi="仿宋" w:eastAsia="仿宋" w:cs="宋体"/>
          <w:kern w:val="0"/>
          <w:sz w:val="32"/>
          <w:szCs w:val="32"/>
        </w:rPr>
        <w:t>人：江伟伟</w:t>
      </w:r>
    </w:p>
    <w:p>
      <w:pPr>
        <w:widowControl/>
        <w:adjustRightInd w:val="0"/>
        <w:snapToGrid w:val="0"/>
        <w:spacing w:line="360" w:lineRule="auto"/>
        <w:jc w:val="left"/>
        <w:rPr>
          <w:rFonts w:ascii="仿宋" w:hAnsi="仿宋" w:eastAsia="仿宋" w:cs="宋体"/>
          <w:kern w:val="0"/>
          <w:sz w:val="32"/>
          <w:szCs w:val="32"/>
        </w:rPr>
      </w:pPr>
    </w:p>
    <w:p>
      <w:pPr>
        <w:widowControl/>
        <w:adjustRightInd w:val="0"/>
        <w:snapToGrid w:val="0"/>
        <w:spacing w:line="360" w:lineRule="auto"/>
        <w:ind w:left="1758" w:leftChars="304" w:hanging="1120" w:hangingChars="350"/>
        <w:jc w:val="left"/>
        <w:rPr>
          <w:rFonts w:ascii="仿宋" w:hAnsi="仿宋" w:eastAsia="仿宋" w:cs="宋体"/>
          <w:kern w:val="0"/>
          <w:sz w:val="32"/>
          <w:szCs w:val="32"/>
        </w:rPr>
      </w:pPr>
      <w:r>
        <w:rPr>
          <w:rFonts w:hint="eastAsia" w:ascii="仿宋" w:hAnsi="仿宋" w:eastAsia="仿宋" w:cs="宋体"/>
          <w:kern w:val="0"/>
          <w:sz w:val="32"/>
          <w:szCs w:val="32"/>
        </w:rPr>
        <w:t>附件：</w:t>
      </w:r>
      <w:r>
        <w:rPr>
          <w:rFonts w:ascii="仿宋" w:hAnsi="仿宋" w:eastAsia="仿宋" w:cs="宋体"/>
          <w:kern w:val="0"/>
          <w:sz w:val="32"/>
          <w:szCs w:val="32"/>
        </w:rPr>
        <w:t>1.</w:t>
      </w:r>
      <w:r>
        <w:rPr>
          <w:rFonts w:hint="eastAsia" w:ascii="仿宋" w:hAnsi="仿宋" w:eastAsia="仿宋" w:cs="宋体"/>
          <w:kern w:val="0"/>
          <w:sz w:val="32"/>
          <w:szCs w:val="32"/>
        </w:rPr>
        <w:t>山东省海洋生态环境与防灾减灾重点实验室开放基金课题申请书（可从科技项目申报管理系统下载）</w:t>
      </w:r>
    </w:p>
    <w:p>
      <w:pPr>
        <w:widowControl/>
        <w:adjustRightInd w:val="0"/>
        <w:snapToGrid w:val="0"/>
        <w:spacing w:line="360" w:lineRule="auto"/>
        <w:ind w:left="1756" w:leftChars="684" w:hanging="320" w:hangingChars="1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山东省海洋生态环境与防灾减灾重点实验室开放基金课题项目简表（可从科技项目申报管理系统下载）</w:t>
      </w:r>
    </w:p>
    <w:p>
      <w:pPr>
        <w:widowControl/>
        <w:adjustRightInd w:val="0"/>
        <w:snapToGrid w:val="0"/>
        <w:spacing w:line="360" w:lineRule="auto"/>
        <w:jc w:val="left"/>
        <w:rPr>
          <w:rFonts w:ascii="仿宋_GB2312" w:hAnsi="宋体" w:eastAsia="仿宋_GB2312" w:cs="宋体"/>
          <w:kern w:val="0"/>
          <w:sz w:val="32"/>
          <w:szCs w:val="32"/>
        </w:rPr>
      </w:pPr>
    </w:p>
    <w:p>
      <w:pPr>
        <w:widowControl/>
        <w:adjustRightInd w:val="0"/>
        <w:snapToGrid w:val="0"/>
        <w:spacing w:after="240" w:line="520" w:lineRule="exact"/>
        <w:ind w:firstLine="640" w:firstLine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山东省海洋生态环境与防灾减灾重点实验室</w:t>
      </w:r>
    </w:p>
    <w:p>
      <w:pPr>
        <w:widowControl/>
        <w:adjustRightInd w:val="0"/>
        <w:snapToGrid w:val="0"/>
        <w:spacing w:after="240" w:line="360" w:lineRule="auto"/>
        <w:ind w:right="640"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 xml:space="preserve">                     </w:t>
      </w:r>
      <w:r>
        <w:rPr>
          <w:rFonts w:ascii="仿宋" w:hAnsi="仿宋" w:eastAsia="仿宋" w:cs="宋体"/>
          <w:kern w:val="0"/>
          <w:sz w:val="32"/>
          <w:szCs w:val="32"/>
        </w:rPr>
        <w:t>2022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月</w:t>
      </w:r>
      <w:r>
        <w:rPr>
          <w:rFonts w:ascii="仿宋" w:hAnsi="仿宋" w:eastAsia="仿宋" w:cs="宋体"/>
          <w:kern w:val="0"/>
          <w:sz w:val="32"/>
          <w:szCs w:val="32"/>
        </w:rPr>
        <w:t>1</w:t>
      </w:r>
      <w:r>
        <w:rPr>
          <w:rFonts w:hint="eastAsia" w:ascii="仿宋" w:hAnsi="仿宋" w:eastAsia="仿宋" w:cs="宋体"/>
          <w:kern w:val="0"/>
          <w:sz w:val="32"/>
          <w:szCs w:val="32"/>
        </w:rPr>
        <w:t>日</w:t>
      </w:r>
    </w:p>
    <w:sectPr>
      <w:headerReference r:id="rId3" w:type="default"/>
      <w:footerReference r:id="rId4" w:type="default"/>
      <w:footerReference r:id="rId5" w:type="even"/>
      <w:pgSz w:w="11906" w:h="16838"/>
      <w:pgMar w:top="1531" w:right="1361" w:bottom="147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000B8A"/>
    <w:multiLevelType w:val="multilevel"/>
    <w:tmpl w:val="43000B8A"/>
    <w:lvl w:ilvl="0" w:tentative="0">
      <w:start w:val="1"/>
      <w:numFmt w:val="decimal"/>
      <w:lvlText w:val="%1、"/>
      <w:lvlJc w:val="left"/>
      <w:pPr>
        <w:ind w:left="1144" w:hanging="504"/>
      </w:pPr>
      <w:rPr>
        <w:rFonts w:hint="eastAsia"/>
        <w:b w:val="0"/>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9D0707B"/>
    <w:multiLevelType w:val="multilevel"/>
    <w:tmpl w:val="49D0707B"/>
    <w:lvl w:ilvl="0" w:tentative="0">
      <w:start w:val="1"/>
      <w:numFmt w:val="decimal"/>
      <w:lvlText w:val="%1、"/>
      <w:lvlJc w:val="left"/>
      <w:pPr>
        <w:ind w:left="1144" w:hanging="504"/>
      </w:pPr>
      <w:rPr>
        <w:rFonts w:hint="eastAsia"/>
        <w:b w:val="0"/>
        <w:color w:val="auto"/>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9F466C9"/>
    <w:multiLevelType w:val="multilevel"/>
    <w:tmpl w:val="79F466C9"/>
    <w:lvl w:ilvl="0" w:tentative="0">
      <w:start w:val="1"/>
      <w:numFmt w:val="decimal"/>
      <w:lvlText w:val="%1、"/>
      <w:lvlJc w:val="left"/>
      <w:pPr>
        <w:ind w:left="1144" w:hanging="504"/>
      </w:pPr>
      <w:rPr>
        <w:rFonts w:hint="eastAsia"/>
        <w:b w:val="0"/>
        <w:color w:val="auto"/>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E19"/>
    <w:rsid w:val="00026783"/>
    <w:rsid w:val="0003001E"/>
    <w:rsid w:val="0003513D"/>
    <w:rsid w:val="0004079D"/>
    <w:rsid w:val="000445BB"/>
    <w:rsid w:val="0005016D"/>
    <w:rsid w:val="000507D4"/>
    <w:rsid w:val="00050A83"/>
    <w:rsid w:val="00055D67"/>
    <w:rsid w:val="000605BA"/>
    <w:rsid w:val="000614D2"/>
    <w:rsid w:val="00067F90"/>
    <w:rsid w:val="000806F4"/>
    <w:rsid w:val="00085BAE"/>
    <w:rsid w:val="000864EC"/>
    <w:rsid w:val="00087A6B"/>
    <w:rsid w:val="00095C45"/>
    <w:rsid w:val="000B11B7"/>
    <w:rsid w:val="000B34F2"/>
    <w:rsid w:val="000E1575"/>
    <w:rsid w:val="000E5744"/>
    <w:rsid w:val="000E6AC5"/>
    <w:rsid w:val="000E7D12"/>
    <w:rsid w:val="000F41BD"/>
    <w:rsid w:val="000F5218"/>
    <w:rsid w:val="00101442"/>
    <w:rsid w:val="00102E42"/>
    <w:rsid w:val="00103924"/>
    <w:rsid w:val="00115CF0"/>
    <w:rsid w:val="00126761"/>
    <w:rsid w:val="001301FA"/>
    <w:rsid w:val="00133F3F"/>
    <w:rsid w:val="00145165"/>
    <w:rsid w:val="00146755"/>
    <w:rsid w:val="00153658"/>
    <w:rsid w:val="0016173B"/>
    <w:rsid w:val="00164749"/>
    <w:rsid w:val="00171638"/>
    <w:rsid w:val="00172A27"/>
    <w:rsid w:val="00172B0C"/>
    <w:rsid w:val="001755A5"/>
    <w:rsid w:val="00177B41"/>
    <w:rsid w:val="00180DF1"/>
    <w:rsid w:val="00182E1C"/>
    <w:rsid w:val="00183A08"/>
    <w:rsid w:val="001849EC"/>
    <w:rsid w:val="00185A3C"/>
    <w:rsid w:val="001869BA"/>
    <w:rsid w:val="001903C4"/>
    <w:rsid w:val="001C1527"/>
    <w:rsid w:val="001C6520"/>
    <w:rsid w:val="001D6F09"/>
    <w:rsid w:val="001F4274"/>
    <w:rsid w:val="001F4B36"/>
    <w:rsid w:val="00202168"/>
    <w:rsid w:val="002120E5"/>
    <w:rsid w:val="002123D5"/>
    <w:rsid w:val="002265B0"/>
    <w:rsid w:val="00236977"/>
    <w:rsid w:val="00243456"/>
    <w:rsid w:val="002631DC"/>
    <w:rsid w:val="00271E88"/>
    <w:rsid w:val="00273B22"/>
    <w:rsid w:val="00274BF1"/>
    <w:rsid w:val="002762E9"/>
    <w:rsid w:val="002936C3"/>
    <w:rsid w:val="002A114E"/>
    <w:rsid w:val="002B135D"/>
    <w:rsid w:val="002C2B9B"/>
    <w:rsid w:val="002C50B0"/>
    <w:rsid w:val="002C57B7"/>
    <w:rsid w:val="002D04AB"/>
    <w:rsid w:val="002D52EE"/>
    <w:rsid w:val="002E1CFF"/>
    <w:rsid w:val="002E6D34"/>
    <w:rsid w:val="002E7D30"/>
    <w:rsid w:val="002F1E5E"/>
    <w:rsid w:val="002F215C"/>
    <w:rsid w:val="002F58DA"/>
    <w:rsid w:val="002F7E80"/>
    <w:rsid w:val="0030381C"/>
    <w:rsid w:val="00303C58"/>
    <w:rsid w:val="003052F4"/>
    <w:rsid w:val="00317ABF"/>
    <w:rsid w:val="00325F00"/>
    <w:rsid w:val="003260CC"/>
    <w:rsid w:val="00330DE1"/>
    <w:rsid w:val="00331126"/>
    <w:rsid w:val="003344E5"/>
    <w:rsid w:val="00351C15"/>
    <w:rsid w:val="003531AE"/>
    <w:rsid w:val="00355D58"/>
    <w:rsid w:val="00357F9D"/>
    <w:rsid w:val="00365056"/>
    <w:rsid w:val="00371D6B"/>
    <w:rsid w:val="00377FF7"/>
    <w:rsid w:val="00383209"/>
    <w:rsid w:val="0038775D"/>
    <w:rsid w:val="00390F51"/>
    <w:rsid w:val="003964E1"/>
    <w:rsid w:val="003A2206"/>
    <w:rsid w:val="003A3AC2"/>
    <w:rsid w:val="003B2F96"/>
    <w:rsid w:val="003B59E8"/>
    <w:rsid w:val="003C39AA"/>
    <w:rsid w:val="003C3DEF"/>
    <w:rsid w:val="003C7BC7"/>
    <w:rsid w:val="003E79D4"/>
    <w:rsid w:val="003F787E"/>
    <w:rsid w:val="004001EF"/>
    <w:rsid w:val="0040318F"/>
    <w:rsid w:val="00405905"/>
    <w:rsid w:val="00414688"/>
    <w:rsid w:val="00414C64"/>
    <w:rsid w:val="00420AF2"/>
    <w:rsid w:val="00420BA9"/>
    <w:rsid w:val="00426447"/>
    <w:rsid w:val="00432DCC"/>
    <w:rsid w:val="004357CC"/>
    <w:rsid w:val="004407E1"/>
    <w:rsid w:val="00451A16"/>
    <w:rsid w:val="00463DD6"/>
    <w:rsid w:val="004644E2"/>
    <w:rsid w:val="004746E3"/>
    <w:rsid w:val="00475F34"/>
    <w:rsid w:val="004A29FE"/>
    <w:rsid w:val="004A2C9D"/>
    <w:rsid w:val="004A2EB8"/>
    <w:rsid w:val="004B591D"/>
    <w:rsid w:val="004B7915"/>
    <w:rsid w:val="004C4D29"/>
    <w:rsid w:val="004D076B"/>
    <w:rsid w:val="004D2DA1"/>
    <w:rsid w:val="004E0A90"/>
    <w:rsid w:val="004E1077"/>
    <w:rsid w:val="004E29FC"/>
    <w:rsid w:val="004E60FD"/>
    <w:rsid w:val="004E6630"/>
    <w:rsid w:val="004E7B40"/>
    <w:rsid w:val="004F153B"/>
    <w:rsid w:val="004F4E0B"/>
    <w:rsid w:val="0050764E"/>
    <w:rsid w:val="00507DBA"/>
    <w:rsid w:val="005347C4"/>
    <w:rsid w:val="00546368"/>
    <w:rsid w:val="00550CFA"/>
    <w:rsid w:val="00553E64"/>
    <w:rsid w:val="00553FB0"/>
    <w:rsid w:val="00562D8E"/>
    <w:rsid w:val="00563254"/>
    <w:rsid w:val="00567A5C"/>
    <w:rsid w:val="005A1D96"/>
    <w:rsid w:val="005B7BF2"/>
    <w:rsid w:val="005B7C61"/>
    <w:rsid w:val="005C3D67"/>
    <w:rsid w:val="005C539D"/>
    <w:rsid w:val="005D10F5"/>
    <w:rsid w:val="005D1207"/>
    <w:rsid w:val="005D1858"/>
    <w:rsid w:val="005D1F70"/>
    <w:rsid w:val="005E67A9"/>
    <w:rsid w:val="00602F6E"/>
    <w:rsid w:val="00603BFE"/>
    <w:rsid w:val="006165B6"/>
    <w:rsid w:val="0062345C"/>
    <w:rsid w:val="00625163"/>
    <w:rsid w:val="006341AA"/>
    <w:rsid w:val="006358D4"/>
    <w:rsid w:val="0063722B"/>
    <w:rsid w:val="006453E1"/>
    <w:rsid w:val="00646504"/>
    <w:rsid w:val="00646690"/>
    <w:rsid w:val="006577DB"/>
    <w:rsid w:val="00657918"/>
    <w:rsid w:val="006748A7"/>
    <w:rsid w:val="00675533"/>
    <w:rsid w:val="00675D44"/>
    <w:rsid w:val="0067759E"/>
    <w:rsid w:val="00677AB4"/>
    <w:rsid w:val="00685D8E"/>
    <w:rsid w:val="0068744B"/>
    <w:rsid w:val="006901A9"/>
    <w:rsid w:val="00692762"/>
    <w:rsid w:val="00694740"/>
    <w:rsid w:val="00697EA5"/>
    <w:rsid w:val="006A14FA"/>
    <w:rsid w:val="006A4378"/>
    <w:rsid w:val="006B50C5"/>
    <w:rsid w:val="006C0FB7"/>
    <w:rsid w:val="006C2FE0"/>
    <w:rsid w:val="006C4300"/>
    <w:rsid w:val="006C4F0A"/>
    <w:rsid w:val="006C695C"/>
    <w:rsid w:val="006E13FB"/>
    <w:rsid w:val="006E4036"/>
    <w:rsid w:val="00700EF3"/>
    <w:rsid w:val="0070286C"/>
    <w:rsid w:val="00712C37"/>
    <w:rsid w:val="00714602"/>
    <w:rsid w:val="00715506"/>
    <w:rsid w:val="00722CFE"/>
    <w:rsid w:val="0072445B"/>
    <w:rsid w:val="00727A2B"/>
    <w:rsid w:val="00740367"/>
    <w:rsid w:val="007537DC"/>
    <w:rsid w:val="0076172B"/>
    <w:rsid w:val="00767670"/>
    <w:rsid w:val="007703EE"/>
    <w:rsid w:val="00773697"/>
    <w:rsid w:val="00774FD5"/>
    <w:rsid w:val="00776938"/>
    <w:rsid w:val="00780D37"/>
    <w:rsid w:val="007842FB"/>
    <w:rsid w:val="007871B6"/>
    <w:rsid w:val="007A0133"/>
    <w:rsid w:val="007A18D4"/>
    <w:rsid w:val="007A55CC"/>
    <w:rsid w:val="007B0128"/>
    <w:rsid w:val="007B0BCD"/>
    <w:rsid w:val="007B1154"/>
    <w:rsid w:val="007B27C7"/>
    <w:rsid w:val="007B2F34"/>
    <w:rsid w:val="007B56E6"/>
    <w:rsid w:val="007B7A72"/>
    <w:rsid w:val="007C16DD"/>
    <w:rsid w:val="007C737E"/>
    <w:rsid w:val="007D1234"/>
    <w:rsid w:val="007D224C"/>
    <w:rsid w:val="007D29CB"/>
    <w:rsid w:val="007D31B9"/>
    <w:rsid w:val="007D6B6E"/>
    <w:rsid w:val="007E4533"/>
    <w:rsid w:val="00803B95"/>
    <w:rsid w:val="00803D2A"/>
    <w:rsid w:val="00824708"/>
    <w:rsid w:val="008265EA"/>
    <w:rsid w:val="00827B32"/>
    <w:rsid w:val="00830F32"/>
    <w:rsid w:val="008330C0"/>
    <w:rsid w:val="00833CCD"/>
    <w:rsid w:val="00835931"/>
    <w:rsid w:val="008430D8"/>
    <w:rsid w:val="008514FE"/>
    <w:rsid w:val="00873874"/>
    <w:rsid w:val="00884BDA"/>
    <w:rsid w:val="008863D2"/>
    <w:rsid w:val="00886538"/>
    <w:rsid w:val="008A2040"/>
    <w:rsid w:val="008B2945"/>
    <w:rsid w:val="008B557D"/>
    <w:rsid w:val="008B7A2E"/>
    <w:rsid w:val="008B7E50"/>
    <w:rsid w:val="008C07C5"/>
    <w:rsid w:val="008D1761"/>
    <w:rsid w:val="008D1BF6"/>
    <w:rsid w:val="008E08F8"/>
    <w:rsid w:val="008E264D"/>
    <w:rsid w:val="008E5B99"/>
    <w:rsid w:val="008E6E49"/>
    <w:rsid w:val="008E746A"/>
    <w:rsid w:val="008F2A49"/>
    <w:rsid w:val="008F48D6"/>
    <w:rsid w:val="008F7299"/>
    <w:rsid w:val="009013E7"/>
    <w:rsid w:val="0091783E"/>
    <w:rsid w:val="00932C5D"/>
    <w:rsid w:val="00933DCB"/>
    <w:rsid w:val="00940AAB"/>
    <w:rsid w:val="0094110B"/>
    <w:rsid w:val="009533A3"/>
    <w:rsid w:val="00981D37"/>
    <w:rsid w:val="009C60D4"/>
    <w:rsid w:val="009D3BDB"/>
    <w:rsid w:val="009D611C"/>
    <w:rsid w:val="009E12C6"/>
    <w:rsid w:val="009E52EC"/>
    <w:rsid w:val="009F0F6D"/>
    <w:rsid w:val="00A127E3"/>
    <w:rsid w:val="00A13298"/>
    <w:rsid w:val="00A139F1"/>
    <w:rsid w:val="00A140FA"/>
    <w:rsid w:val="00A170B4"/>
    <w:rsid w:val="00A20D04"/>
    <w:rsid w:val="00A30593"/>
    <w:rsid w:val="00A34A96"/>
    <w:rsid w:val="00A34FC2"/>
    <w:rsid w:val="00A41ED3"/>
    <w:rsid w:val="00A625AF"/>
    <w:rsid w:val="00A73132"/>
    <w:rsid w:val="00A7735E"/>
    <w:rsid w:val="00AB7CA2"/>
    <w:rsid w:val="00AC1307"/>
    <w:rsid w:val="00AD1E4C"/>
    <w:rsid w:val="00AD2038"/>
    <w:rsid w:val="00AD2398"/>
    <w:rsid w:val="00AE4F89"/>
    <w:rsid w:val="00AE5B63"/>
    <w:rsid w:val="00AF339A"/>
    <w:rsid w:val="00B00EA2"/>
    <w:rsid w:val="00B16447"/>
    <w:rsid w:val="00B16AE0"/>
    <w:rsid w:val="00B26D2E"/>
    <w:rsid w:val="00B27686"/>
    <w:rsid w:val="00B34CC2"/>
    <w:rsid w:val="00B5388E"/>
    <w:rsid w:val="00B53A88"/>
    <w:rsid w:val="00B56CFF"/>
    <w:rsid w:val="00B57510"/>
    <w:rsid w:val="00B6170F"/>
    <w:rsid w:val="00B63F42"/>
    <w:rsid w:val="00B73A28"/>
    <w:rsid w:val="00B81712"/>
    <w:rsid w:val="00B83A1A"/>
    <w:rsid w:val="00B979EE"/>
    <w:rsid w:val="00BA71A6"/>
    <w:rsid w:val="00BB70D4"/>
    <w:rsid w:val="00BB745D"/>
    <w:rsid w:val="00BB77C4"/>
    <w:rsid w:val="00BC2833"/>
    <w:rsid w:val="00BC561D"/>
    <w:rsid w:val="00BC5F21"/>
    <w:rsid w:val="00BC7BC9"/>
    <w:rsid w:val="00BD53D7"/>
    <w:rsid w:val="00BD7426"/>
    <w:rsid w:val="00BE32A5"/>
    <w:rsid w:val="00BE385C"/>
    <w:rsid w:val="00BE70F0"/>
    <w:rsid w:val="00BF5E9A"/>
    <w:rsid w:val="00BF68E7"/>
    <w:rsid w:val="00C00933"/>
    <w:rsid w:val="00C00E64"/>
    <w:rsid w:val="00C06F8E"/>
    <w:rsid w:val="00C114AB"/>
    <w:rsid w:val="00C116B4"/>
    <w:rsid w:val="00C15E0E"/>
    <w:rsid w:val="00C2153C"/>
    <w:rsid w:val="00C22696"/>
    <w:rsid w:val="00C23F43"/>
    <w:rsid w:val="00C240E7"/>
    <w:rsid w:val="00C26880"/>
    <w:rsid w:val="00C5064A"/>
    <w:rsid w:val="00C53CBA"/>
    <w:rsid w:val="00C65951"/>
    <w:rsid w:val="00C677D2"/>
    <w:rsid w:val="00C71829"/>
    <w:rsid w:val="00C86171"/>
    <w:rsid w:val="00C87B0B"/>
    <w:rsid w:val="00CA372B"/>
    <w:rsid w:val="00CA51B5"/>
    <w:rsid w:val="00CC5B55"/>
    <w:rsid w:val="00CC62FA"/>
    <w:rsid w:val="00CD2F9B"/>
    <w:rsid w:val="00CE09D0"/>
    <w:rsid w:val="00CE4BF7"/>
    <w:rsid w:val="00CF0CEB"/>
    <w:rsid w:val="00CF2058"/>
    <w:rsid w:val="00CF391C"/>
    <w:rsid w:val="00CF7660"/>
    <w:rsid w:val="00D038CD"/>
    <w:rsid w:val="00D1728B"/>
    <w:rsid w:val="00D22445"/>
    <w:rsid w:val="00D234F2"/>
    <w:rsid w:val="00D343F8"/>
    <w:rsid w:val="00D41A1B"/>
    <w:rsid w:val="00D42B22"/>
    <w:rsid w:val="00D55816"/>
    <w:rsid w:val="00D56A57"/>
    <w:rsid w:val="00D622E3"/>
    <w:rsid w:val="00D66B43"/>
    <w:rsid w:val="00D76391"/>
    <w:rsid w:val="00D77DF7"/>
    <w:rsid w:val="00D84124"/>
    <w:rsid w:val="00D84453"/>
    <w:rsid w:val="00D903D2"/>
    <w:rsid w:val="00D91C1E"/>
    <w:rsid w:val="00D91DCE"/>
    <w:rsid w:val="00D936AA"/>
    <w:rsid w:val="00D94AF2"/>
    <w:rsid w:val="00DA54A5"/>
    <w:rsid w:val="00DB3832"/>
    <w:rsid w:val="00DB6B40"/>
    <w:rsid w:val="00DC0878"/>
    <w:rsid w:val="00DC27C9"/>
    <w:rsid w:val="00DC6DA9"/>
    <w:rsid w:val="00DC7B71"/>
    <w:rsid w:val="00DD1A0A"/>
    <w:rsid w:val="00DD1C0B"/>
    <w:rsid w:val="00DF3E44"/>
    <w:rsid w:val="00DF4BDC"/>
    <w:rsid w:val="00E06466"/>
    <w:rsid w:val="00E23C44"/>
    <w:rsid w:val="00E44F3D"/>
    <w:rsid w:val="00E50E48"/>
    <w:rsid w:val="00E5182E"/>
    <w:rsid w:val="00E51C44"/>
    <w:rsid w:val="00E53861"/>
    <w:rsid w:val="00E543D3"/>
    <w:rsid w:val="00E567C7"/>
    <w:rsid w:val="00E609B5"/>
    <w:rsid w:val="00E65D63"/>
    <w:rsid w:val="00E6706B"/>
    <w:rsid w:val="00E67A64"/>
    <w:rsid w:val="00E703C6"/>
    <w:rsid w:val="00E72CD3"/>
    <w:rsid w:val="00E91F0F"/>
    <w:rsid w:val="00E95C33"/>
    <w:rsid w:val="00EA18F2"/>
    <w:rsid w:val="00EA5ACF"/>
    <w:rsid w:val="00EA616F"/>
    <w:rsid w:val="00EA7BFE"/>
    <w:rsid w:val="00EB0EC5"/>
    <w:rsid w:val="00EB69E3"/>
    <w:rsid w:val="00EB6C2F"/>
    <w:rsid w:val="00EC1DF8"/>
    <w:rsid w:val="00EC33D5"/>
    <w:rsid w:val="00EC523E"/>
    <w:rsid w:val="00EC7607"/>
    <w:rsid w:val="00ED4808"/>
    <w:rsid w:val="00EE0E71"/>
    <w:rsid w:val="00EE7533"/>
    <w:rsid w:val="00EF43E0"/>
    <w:rsid w:val="00EF48E4"/>
    <w:rsid w:val="00EF6524"/>
    <w:rsid w:val="00F06D8B"/>
    <w:rsid w:val="00F154DF"/>
    <w:rsid w:val="00F2593D"/>
    <w:rsid w:val="00F32E5E"/>
    <w:rsid w:val="00F37554"/>
    <w:rsid w:val="00F4114B"/>
    <w:rsid w:val="00F416C8"/>
    <w:rsid w:val="00F46E73"/>
    <w:rsid w:val="00F500BF"/>
    <w:rsid w:val="00F57F69"/>
    <w:rsid w:val="00F603F2"/>
    <w:rsid w:val="00F644F5"/>
    <w:rsid w:val="00F670EB"/>
    <w:rsid w:val="00F67D0B"/>
    <w:rsid w:val="00F71094"/>
    <w:rsid w:val="00F75D0A"/>
    <w:rsid w:val="00F76A0E"/>
    <w:rsid w:val="00F848A4"/>
    <w:rsid w:val="00F9014F"/>
    <w:rsid w:val="00F917FF"/>
    <w:rsid w:val="00F91F14"/>
    <w:rsid w:val="00FA6E66"/>
    <w:rsid w:val="00FB2C29"/>
    <w:rsid w:val="00FB2FC6"/>
    <w:rsid w:val="00FB308C"/>
    <w:rsid w:val="00FB51A7"/>
    <w:rsid w:val="00FB6E12"/>
    <w:rsid w:val="00FC4DD2"/>
    <w:rsid w:val="00FC7F22"/>
    <w:rsid w:val="00FD4498"/>
    <w:rsid w:val="00FD7FDB"/>
    <w:rsid w:val="00FE60DA"/>
    <w:rsid w:val="00FE63A5"/>
    <w:rsid w:val="00FF6317"/>
    <w:rsid w:val="7CFF3165"/>
    <w:rsid w:val="BDF28F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17"/>
    <w:qFormat/>
    <w:uiPriority w:val="99"/>
    <w:pPr>
      <w:keepNext/>
      <w:keepLines/>
      <w:spacing w:before="260" w:after="260" w:line="413" w:lineRule="auto"/>
      <w:outlineLvl w:val="2"/>
    </w:pPr>
    <w:rPr>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qFormat/>
    <w:uiPriority w:val="99"/>
    <w:pPr>
      <w:shd w:val="clear" w:color="auto" w:fill="000080"/>
    </w:pPr>
  </w:style>
  <w:style w:type="paragraph" w:styleId="6">
    <w:name w:val="Date"/>
    <w:basedOn w:val="1"/>
    <w:next w:val="1"/>
    <w:link w:val="28"/>
    <w:semiHidden/>
    <w:unhideWhenUsed/>
    <w:qFormat/>
    <w:uiPriority w:val="99"/>
    <w:pPr>
      <w:ind w:left="100" w:leftChars="2500"/>
    </w:pPr>
  </w:style>
  <w:style w:type="paragraph" w:styleId="7">
    <w:name w:val="Balloon Text"/>
    <w:basedOn w:val="1"/>
    <w:link w:val="26"/>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20"/>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Normal (Web)"/>
    <w:basedOn w:val="1"/>
    <w:qFormat/>
    <w:uiPriority w:val="99"/>
    <w:pPr>
      <w:widowControl/>
      <w:spacing w:before="100" w:beforeAutospacing="1" w:after="100" w:afterAutospacing="1" w:line="280" w:lineRule="atLeast"/>
      <w:jc w:val="left"/>
    </w:pPr>
    <w:rPr>
      <w:rFonts w:ascii="宋体" w:hAnsi="宋体" w:cs="宋体"/>
      <w:kern w:val="0"/>
      <w:sz w:val="28"/>
      <w:szCs w:val="28"/>
    </w:r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444444"/>
      <w:u w:val="single"/>
    </w:rPr>
  </w:style>
  <w:style w:type="character" w:customStyle="1" w:styleId="15">
    <w:name w:val="标题 1 Char"/>
    <w:basedOn w:val="12"/>
    <w:link w:val="2"/>
    <w:qFormat/>
    <w:locked/>
    <w:uiPriority w:val="99"/>
    <w:rPr>
      <w:rFonts w:ascii="Calibri" w:hAnsi="Calibri" w:eastAsia="宋体" w:cs="Times New Roman"/>
      <w:b/>
      <w:kern w:val="44"/>
      <w:sz w:val="44"/>
    </w:rPr>
  </w:style>
  <w:style w:type="character" w:customStyle="1" w:styleId="16">
    <w:name w:val="标题 2 Char"/>
    <w:basedOn w:val="12"/>
    <w:link w:val="3"/>
    <w:qFormat/>
    <w:locked/>
    <w:uiPriority w:val="99"/>
    <w:rPr>
      <w:rFonts w:ascii="宋体" w:hAnsi="宋体" w:eastAsia="宋体" w:cs="Times New Roman"/>
      <w:b/>
      <w:kern w:val="0"/>
      <w:sz w:val="36"/>
    </w:rPr>
  </w:style>
  <w:style w:type="character" w:customStyle="1" w:styleId="17">
    <w:name w:val="标题 3 Char"/>
    <w:basedOn w:val="12"/>
    <w:link w:val="4"/>
    <w:qFormat/>
    <w:locked/>
    <w:uiPriority w:val="99"/>
    <w:rPr>
      <w:rFonts w:cs="Times New Roman"/>
      <w:b/>
      <w:sz w:val="32"/>
    </w:rPr>
  </w:style>
  <w:style w:type="character" w:customStyle="1" w:styleId="18">
    <w:name w:val="页眉 Char"/>
    <w:link w:val="9"/>
    <w:qFormat/>
    <w:locked/>
    <w:uiPriority w:val="99"/>
    <w:rPr>
      <w:sz w:val="18"/>
    </w:rPr>
  </w:style>
  <w:style w:type="character" w:customStyle="1" w:styleId="19">
    <w:name w:val="页脚 Char"/>
    <w:link w:val="8"/>
    <w:qFormat/>
    <w:locked/>
    <w:uiPriority w:val="99"/>
    <w:rPr>
      <w:sz w:val="18"/>
    </w:rPr>
  </w:style>
  <w:style w:type="character" w:customStyle="1" w:styleId="20">
    <w:name w:val="访问过的超链接1"/>
    <w:qFormat/>
    <w:uiPriority w:val="99"/>
    <w:rPr>
      <w:color w:val="800080"/>
      <w:u w:val="single"/>
    </w:rPr>
  </w:style>
  <w:style w:type="character" w:customStyle="1" w:styleId="21">
    <w:name w:val="Header Char1"/>
    <w:basedOn w:val="12"/>
    <w:semiHidden/>
    <w:qFormat/>
    <w:locked/>
    <w:uiPriority w:val="99"/>
    <w:rPr>
      <w:rFonts w:cs="Times New Roman"/>
      <w:sz w:val="18"/>
      <w:szCs w:val="18"/>
    </w:rPr>
  </w:style>
  <w:style w:type="character" w:customStyle="1" w:styleId="22">
    <w:name w:val="文档结构图 Char"/>
    <w:basedOn w:val="12"/>
    <w:link w:val="5"/>
    <w:semiHidden/>
    <w:qFormat/>
    <w:locked/>
    <w:uiPriority w:val="99"/>
    <w:rPr>
      <w:rFonts w:ascii="Times New Roman" w:hAnsi="Times New Roman" w:cs="Times New Roman"/>
      <w:sz w:val="2"/>
    </w:rPr>
  </w:style>
  <w:style w:type="paragraph" w:customStyle="1" w:styleId="23">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24">
    <w:name w:val="Footer Char1"/>
    <w:basedOn w:val="12"/>
    <w:semiHidden/>
    <w:qFormat/>
    <w:locked/>
    <w:uiPriority w:val="99"/>
    <w:rPr>
      <w:rFonts w:cs="Times New Roman"/>
      <w:sz w:val="18"/>
      <w:szCs w:val="18"/>
    </w:rPr>
  </w:style>
  <w:style w:type="paragraph" w:customStyle="1" w:styleId="25">
    <w:name w:val="Char1"/>
    <w:basedOn w:val="1"/>
    <w:qFormat/>
    <w:uiPriority w:val="99"/>
    <w:pPr>
      <w:spacing w:line="360" w:lineRule="auto"/>
      <w:ind w:firstLine="200" w:firstLineChars="200"/>
    </w:pPr>
    <w:rPr>
      <w:rFonts w:ascii="Times New Roman" w:hAnsi="Times New Roman"/>
      <w:sz w:val="28"/>
      <w:szCs w:val="28"/>
    </w:rPr>
  </w:style>
  <w:style w:type="character" w:customStyle="1" w:styleId="26">
    <w:name w:val="批注框文本 Char"/>
    <w:basedOn w:val="12"/>
    <w:link w:val="7"/>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日期 Char"/>
    <w:basedOn w:val="12"/>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258</Words>
  <Characters>1473</Characters>
  <Lines>12</Lines>
  <Paragraphs>3</Paragraphs>
  <TotalTime>231</TotalTime>
  <ScaleCrop>false</ScaleCrop>
  <LinksUpToDate>false</LinksUpToDate>
  <CharactersWithSpaces>1728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2022-06-08T18:56:00Z</dcterms:created>
  <dc:creator>王兴</dc:creator>
  <cp:lastModifiedBy>李全亮（处秘A）</cp:lastModifiedBy>
  <cp:lastPrinted>2020-07-06T18:03:00Z</cp:lastPrinted>
  <dcterms:modified xsi:type="dcterms:W3CDTF">2022-07-01T14:44:47Z</dcterms:modified>
  <dc:title>基金指南</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