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仿宋" w:hAnsi="仿宋" w:eastAsia="仿宋" w:cs="仿宋"/>
          <w:b/>
          <w:spacing w:val="-20"/>
          <w:sz w:val="32"/>
          <w:szCs w:val="32"/>
          <w:u w:val="single"/>
        </w:rPr>
      </w:pPr>
      <w:r>
        <w:rPr>
          <w:rFonts w:hint="eastAsia" w:ascii="仿宋" w:hAnsi="仿宋" w:eastAsia="仿宋" w:cs="仿宋"/>
          <w:b/>
          <w:sz w:val="32"/>
          <w:szCs w:val="32"/>
          <w:u w:val="single"/>
        </w:rPr>
        <w:t>青岛海洋科学考察基地项目码头工程（防灾减灾功能分区）监理招标公告</w:t>
      </w:r>
    </w:p>
    <w:p>
      <w:pPr>
        <w:pStyle w:val="2"/>
        <w:spacing w:line="364" w:lineRule="auto"/>
        <w:contextualSpacing/>
        <w:jc w:val="both"/>
        <w:rPr>
          <w:rFonts w:ascii="仿宋" w:hAnsi="仿宋" w:eastAsia="仿宋" w:cs="仿宋"/>
          <w:w w:val="95"/>
          <w:sz w:val="28"/>
          <w:szCs w:val="28"/>
        </w:rPr>
      </w:pPr>
      <w:r>
        <w:rPr>
          <w:rFonts w:hint="eastAsia" w:ascii="仿宋" w:hAnsi="仿宋" w:eastAsia="仿宋" w:cs="仿宋"/>
          <w:w w:val="95"/>
          <w:sz w:val="28"/>
          <w:szCs w:val="28"/>
        </w:rPr>
        <w:t xml:space="preserve">项目名称：青岛海洋科学考察基地项目码头工程（防灾减灾功能分区）监理 </w:t>
      </w:r>
    </w:p>
    <w:p>
      <w:pPr>
        <w:pStyle w:val="2"/>
        <w:spacing w:line="367" w:lineRule="auto"/>
        <w:contextualSpacing/>
        <w:rPr>
          <w:rFonts w:ascii="仿宋" w:hAnsi="仿宋" w:eastAsia="仿宋" w:cs="仿宋"/>
          <w:sz w:val="28"/>
          <w:szCs w:val="28"/>
          <w:lang w:eastAsia="zh-CN"/>
        </w:rPr>
      </w:pPr>
      <w:r>
        <w:rPr>
          <w:rFonts w:hint="eastAsia" w:ascii="仿宋" w:hAnsi="仿宋" w:eastAsia="仿宋" w:cs="仿宋"/>
          <w:sz w:val="28"/>
          <w:szCs w:val="28"/>
        </w:rPr>
        <w:t>工程地点：青岛市崂山区崂山路22号</w:t>
      </w:r>
    </w:p>
    <w:p>
      <w:pPr>
        <w:pStyle w:val="2"/>
        <w:tabs>
          <w:tab w:val="left" w:pos="3305"/>
        </w:tabs>
        <w:spacing w:line="364" w:lineRule="auto"/>
        <w:contextualSpacing/>
        <w:rPr>
          <w:rFonts w:ascii="仿宋" w:hAnsi="仿宋" w:eastAsia="仿宋" w:cs="仿宋"/>
          <w:sz w:val="28"/>
          <w:szCs w:val="28"/>
        </w:rPr>
      </w:pPr>
      <w:r>
        <w:rPr>
          <w:rFonts w:hint="eastAsia" w:ascii="仿宋" w:hAnsi="仿宋" w:eastAsia="仿宋" w:cs="仿宋"/>
          <w:sz w:val="28"/>
          <w:szCs w:val="28"/>
        </w:rPr>
        <w:t>资金来源：财政资金</w:t>
      </w:r>
      <w:r>
        <w:rPr>
          <w:rFonts w:hint="eastAsia" w:ascii="仿宋" w:hAnsi="仿宋" w:eastAsia="仿宋" w:cs="仿宋"/>
          <w:sz w:val="28"/>
          <w:szCs w:val="28"/>
        </w:rPr>
        <w:tab/>
      </w:r>
    </w:p>
    <w:p>
      <w:pPr>
        <w:pStyle w:val="2"/>
        <w:tabs>
          <w:tab w:val="left" w:pos="3305"/>
        </w:tabs>
        <w:spacing w:line="364" w:lineRule="auto"/>
        <w:contextualSpacing/>
        <w:rPr>
          <w:rFonts w:ascii="仿宋" w:hAnsi="仿宋" w:eastAsia="仿宋" w:cs="仿宋"/>
          <w:spacing w:val="-102"/>
          <w:sz w:val="28"/>
          <w:szCs w:val="28"/>
        </w:rPr>
      </w:pPr>
      <w:r>
        <w:rPr>
          <w:rFonts w:hint="eastAsia" w:ascii="仿宋" w:hAnsi="仿宋" w:eastAsia="仿宋" w:cs="仿宋"/>
          <w:spacing w:val="-1"/>
          <w:sz w:val="28"/>
          <w:szCs w:val="28"/>
        </w:rPr>
        <w:t>出资比例</w:t>
      </w:r>
      <w:r>
        <w:rPr>
          <w:rFonts w:hint="eastAsia" w:ascii="仿宋" w:hAnsi="仿宋" w:eastAsia="仿宋" w:cs="仿宋"/>
          <w:sz w:val="28"/>
          <w:szCs w:val="28"/>
        </w:rPr>
        <w:t>：100%</w:t>
      </w:r>
      <w:r>
        <w:rPr>
          <w:rFonts w:hint="eastAsia" w:ascii="仿宋" w:hAnsi="仿宋" w:eastAsia="仿宋" w:cs="仿宋"/>
          <w:spacing w:val="-102"/>
          <w:sz w:val="28"/>
          <w:szCs w:val="28"/>
        </w:rPr>
        <w:t xml:space="preserve"> </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招标工程类型：水运工程监理</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总投资额：约29932万元</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工程造价：28353.943658万元</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lang w:eastAsia="zh-CN"/>
        </w:rPr>
        <w:t>监理招标控制价：3</w:t>
      </w:r>
      <w:r>
        <w:rPr>
          <w:rFonts w:ascii="仿宋" w:hAnsi="仿宋" w:eastAsia="仿宋" w:cs="仿宋"/>
          <w:sz w:val="28"/>
          <w:szCs w:val="28"/>
          <w:lang w:eastAsia="zh-CN"/>
        </w:rPr>
        <w:t>00.00</w:t>
      </w:r>
      <w:r>
        <w:rPr>
          <w:rFonts w:hint="eastAsia" w:ascii="仿宋" w:hAnsi="仿宋" w:eastAsia="仿宋" w:cs="仿宋"/>
          <w:sz w:val="28"/>
          <w:szCs w:val="28"/>
          <w:lang w:eastAsia="zh-CN"/>
        </w:rPr>
        <w:t>万元</w:t>
      </w:r>
    </w:p>
    <w:p>
      <w:pPr>
        <w:spacing w:line="360" w:lineRule="auto"/>
        <w:contextualSpacing/>
        <w:rPr>
          <w:rFonts w:ascii="仿宋" w:hAnsi="仿宋" w:eastAsia="仿宋" w:cs="仿宋"/>
          <w:sz w:val="28"/>
          <w:szCs w:val="28"/>
        </w:rPr>
      </w:pPr>
      <w:r>
        <w:rPr>
          <w:rFonts w:hint="eastAsia" w:ascii="仿宋" w:hAnsi="仿宋" w:eastAsia="仿宋" w:cs="仿宋"/>
          <w:sz w:val="28"/>
          <w:szCs w:val="28"/>
        </w:rPr>
        <w:t>技术等级：/</w:t>
      </w:r>
    </w:p>
    <w:p>
      <w:pPr>
        <w:spacing w:line="360" w:lineRule="auto"/>
        <w:contextualSpacing/>
        <w:jc w:val="both"/>
        <w:rPr>
          <w:rFonts w:ascii="仿宋" w:hAnsi="仿宋" w:eastAsia="仿宋" w:cs="仿宋"/>
          <w:sz w:val="28"/>
          <w:szCs w:val="28"/>
        </w:rPr>
      </w:pPr>
      <w:r>
        <w:rPr>
          <w:rFonts w:hint="eastAsia" w:ascii="仿宋" w:hAnsi="仿宋" w:eastAsia="仿宋" w:cs="仿宋"/>
          <w:sz w:val="28"/>
          <w:szCs w:val="28"/>
        </w:rPr>
        <w:t>工程规模：</w:t>
      </w:r>
      <w:r>
        <w:rPr>
          <w:rFonts w:hint="eastAsia" w:ascii="仿宋" w:hAnsi="仿宋" w:eastAsia="仿宋" w:cs="仿宋"/>
          <w:sz w:val="28"/>
          <w:szCs w:val="28"/>
          <w:u w:val="single"/>
        </w:rPr>
        <w:t>防灾减灾功能分区400米防波堤兼码头（前沿设计底高程-9米）及浮标上下水区、疏浚、灯塔、助航设施、水电通讯消防等配套工程内容的全过程监理，以及本项目各专项验收、竣工验收所需的全部监理工作。</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计划文号：青发改能交核【2012】25号</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建设单位：自然资源部北海局</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建设单位联系人：杨涛</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建设单位联系电话：0532-58750183</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 xml:space="preserve">招标单位：自然资源部北海局 </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招标单位联系人：杨涛</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招标单位联系电话：0532-58750183</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招标代理单位：山东金诺建设项目管理有限公司</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招标代理单位联系人：周艳鹏、姜瑞超</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招标代理单位联系电话：18653267983</w:t>
      </w:r>
      <w:r>
        <w:rPr>
          <w:rFonts w:hint="eastAsia" w:ascii="仿宋" w:hAnsi="仿宋" w:eastAsia="仿宋" w:cs="仿宋"/>
          <w:sz w:val="28"/>
          <w:szCs w:val="28"/>
          <w:lang w:eastAsia="zh-CN"/>
        </w:rPr>
        <w:t>、</w:t>
      </w:r>
      <w:r>
        <w:rPr>
          <w:rFonts w:hint="eastAsia" w:ascii="仿宋" w:hAnsi="仿宋" w:eastAsia="仿宋" w:cs="仿宋"/>
          <w:sz w:val="28"/>
          <w:szCs w:val="28"/>
        </w:rPr>
        <w:t>15092002940</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全市统一项目编码： /</w:t>
      </w:r>
    </w:p>
    <w:p>
      <w:pPr>
        <w:pStyle w:val="2"/>
        <w:spacing w:line="367" w:lineRule="auto"/>
        <w:contextualSpacing/>
        <w:rPr>
          <w:rFonts w:ascii="仿宋" w:hAnsi="仿宋" w:eastAsia="仿宋" w:cs="仿宋"/>
          <w:sz w:val="28"/>
          <w:szCs w:val="28"/>
        </w:rPr>
      </w:pPr>
      <w:r>
        <w:rPr>
          <w:rFonts w:hint="eastAsia" w:ascii="仿宋" w:hAnsi="仿宋" w:eastAsia="仿宋" w:cs="仿宋"/>
          <w:sz w:val="28"/>
          <w:szCs w:val="28"/>
        </w:rPr>
        <w:t>是否绿色通道项目：否</w:t>
      </w:r>
    </w:p>
    <w:p>
      <w:pPr>
        <w:contextualSpacing/>
        <w:rPr>
          <w:rFonts w:ascii="仿宋" w:hAnsi="仿宋" w:eastAsia="仿宋" w:cs="仿宋"/>
          <w:sz w:val="28"/>
          <w:szCs w:val="28"/>
        </w:rPr>
      </w:pPr>
      <w:r>
        <w:rPr>
          <w:rFonts w:hint="eastAsia" w:ascii="仿宋" w:hAnsi="仿宋" w:eastAsia="仿宋" w:cs="仿宋"/>
          <w:sz w:val="28"/>
          <w:szCs w:val="28"/>
        </w:rPr>
        <w:t>一、项目基本情况</w:t>
      </w:r>
    </w:p>
    <w:p>
      <w:pPr>
        <w:pStyle w:val="2"/>
        <w:spacing w:line="364" w:lineRule="auto"/>
        <w:ind w:firstLine="420"/>
        <w:contextualSpacing/>
        <w:jc w:val="both"/>
        <w:rPr>
          <w:rFonts w:ascii="仿宋" w:hAnsi="仿宋" w:eastAsia="仿宋" w:cs="仿宋"/>
          <w:sz w:val="28"/>
          <w:szCs w:val="28"/>
        </w:rPr>
      </w:pPr>
      <w:r>
        <w:rPr>
          <w:rFonts w:hint="eastAsia" w:ascii="仿宋" w:hAnsi="仿宋" w:eastAsia="仿宋" w:cs="仿宋"/>
          <w:w w:val="95"/>
          <w:sz w:val="28"/>
          <w:szCs w:val="28"/>
        </w:rPr>
        <w:t>(一）项目概况：</w:t>
      </w:r>
      <w:r>
        <w:rPr>
          <w:rFonts w:hint="eastAsia" w:ascii="仿宋" w:hAnsi="仿宋" w:eastAsia="仿宋" w:cs="仿宋"/>
          <w:w w:val="95"/>
          <w:sz w:val="28"/>
          <w:szCs w:val="28"/>
          <w:u w:val="single"/>
          <w:lang w:val="en-US"/>
        </w:rPr>
        <w:t>青岛海洋科学考察基地项目码头工程，位于青岛市崂山区沙子口街道办事处南姜社区以南的“南抓锚山”南侧水域，由维权执法功能分区和防灾减灾功能分区组成。其中，维权执法功能分区防波堤兼码头3</w:t>
      </w:r>
      <w:r>
        <w:rPr>
          <w:rFonts w:ascii="仿宋" w:hAnsi="仿宋" w:eastAsia="仿宋" w:cs="仿宋"/>
          <w:w w:val="95"/>
          <w:sz w:val="28"/>
          <w:szCs w:val="28"/>
          <w:u w:val="single"/>
          <w:lang w:val="en-US"/>
        </w:rPr>
        <w:t>60</w:t>
      </w:r>
      <w:r>
        <w:rPr>
          <w:rFonts w:hint="eastAsia" w:ascii="仿宋" w:hAnsi="仿宋" w:eastAsia="仿宋" w:cs="仿宋"/>
          <w:w w:val="95"/>
          <w:sz w:val="28"/>
          <w:szCs w:val="28"/>
          <w:u w:val="single"/>
          <w:lang w:val="en-US"/>
        </w:rPr>
        <w:t>米和引堤4</w:t>
      </w:r>
      <w:r>
        <w:rPr>
          <w:rFonts w:ascii="仿宋" w:hAnsi="仿宋" w:eastAsia="仿宋" w:cs="仿宋"/>
          <w:w w:val="95"/>
          <w:sz w:val="28"/>
          <w:szCs w:val="28"/>
          <w:u w:val="single"/>
          <w:lang w:val="en-US"/>
        </w:rPr>
        <w:t>0</w:t>
      </w:r>
      <w:r>
        <w:rPr>
          <w:rFonts w:hint="eastAsia" w:ascii="仿宋" w:hAnsi="仿宋" w:eastAsia="仿宋" w:cs="仿宋"/>
          <w:w w:val="95"/>
          <w:sz w:val="28"/>
          <w:szCs w:val="28"/>
          <w:u w:val="single"/>
          <w:lang w:val="en-US"/>
        </w:rPr>
        <w:t>米；防灾减灾功能分区防波堤兼码头4</w:t>
      </w:r>
      <w:r>
        <w:rPr>
          <w:rFonts w:ascii="仿宋" w:hAnsi="仿宋" w:eastAsia="仿宋" w:cs="仿宋"/>
          <w:w w:val="95"/>
          <w:sz w:val="28"/>
          <w:szCs w:val="28"/>
          <w:u w:val="single"/>
          <w:lang w:val="en-US"/>
        </w:rPr>
        <w:t>00</w:t>
      </w:r>
      <w:r>
        <w:rPr>
          <w:rFonts w:hint="eastAsia" w:ascii="仿宋" w:hAnsi="仿宋" w:eastAsia="仿宋" w:cs="仿宋"/>
          <w:w w:val="95"/>
          <w:sz w:val="28"/>
          <w:szCs w:val="28"/>
          <w:u w:val="single"/>
          <w:lang w:val="en-US"/>
        </w:rPr>
        <w:t>米。合计岸线总长8</w:t>
      </w:r>
      <w:r>
        <w:rPr>
          <w:rFonts w:ascii="仿宋" w:hAnsi="仿宋" w:eastAsia="仿宋" w:cs="仿宋"/>
          <w:w w:val="95"/>
          <w:sz w:val="28"/>
          <w:szCs w:val="28"/>
          <w:u w:val="single"/>
          <w:lang w:val="en-US"/>
        </w:rPr>
        <w:t>00</w:t>
      </w:r>
      <w:r>
        <w:rPr>
          <w:rFonts w:hint="eastAsia" w:ascii="仿宋" w:hAnsi="仿宋" w:eastAsia="仿宋" w:cs="仿宋"/>
          <w:w w:val="95"/>
          <w:sz w:val="28"/>
          <w:szCs w:val="28"/>
          <w:u w:val="single"/>
          <w:lang w:val="en-US"/>
        </w:rPr>
        <w:t>米。</w:t>
      </w:r>
    </w:p>
    <w:p>
      <w:pPr>
        <w:pStyle w:val="2"/>
        <w:spacing w:line="364" w:lineRule="auto"/>
        <w:ind w:firstLine="266" w:firstLineChars="100"/>
        <w:contextualSpacing/>
        <w:jc w:val="both"/>
        <w:rPr>
          <w:rFonts w:ascii="仿宋" w:hAnsi="仿宋" w:eastAsia="仿宋" w:cs="仿宋"/>
          <w:w w:val="95"/>
          <w:sz w:val="28"/>
          <w:szCs w:val="28"/>
          <w:u w:val="single"/>
          <w:lang w:val="en-US"/>
        </w:rPr>
      </w:pPr>
      <w:r>
        <w:rPr>
          <w:rFonts w:hint="eastAsia" w:ascii="仿宋" w:hAnsi="仿宋" w:eastAsia="仿宋" w:cs="仿宋"/>
          <w:w w:val="95"/>
          <w:sz w:val="28"/>
          <w:szCs w:val="28"/>
        </w:rPr>
        <w:t>（二）招标</w:t>
      </w:r>
      <w:r>
        <w:rPr>
          <w:rFonts w:hint="eastAsia" w:ascii="仿宋" w:hAnsi="仿宋" w:eastAsia="仿宋" w:cs="仿宋"/>
          <w:w w:val="95"/>
          <w:sz w:val="28"/>
          <w:szCs w:val="28"/>
          <w:lang w:eastAsia="zh-CN"/>
        </w:rPr>
        <w:t>内容</w:t>
      </w:r>
      <w:r>
        <w:rPr>
          <w:rFonts w:hint="eastAsia" w:ascii="仿宋" w:hAnsi="仿宋" w:eastAsia="仿宋" w:cs="仿宋"/>
          <w:w w:val="95"/>
          <w:sz w:val="28"/>
          <w:szCs w:val="28"/>
        </w:rPr>
        <w:t>：</w:t>
      </w:r>
      <w:r>
        <w:rPr>
          <w:rFonts w:hint="eastAsia" w:ascii="仿宋" w:hAnsi="仿宋" w:eastAsia="仿宋" w:cs="仿宋"/>
          <w:w w:val="95"/>
          <w:sz w:val="28"/>
          <w:szCs w:val="28"/>
          <w:u w:val="single"/>
          <w:lang w:val="en-US"/>
        </w:rPr>
        <w:t>维权执法功能分区防波堤兼码头和引堤已建成交工，本次招标内容为防灾减灾功能分区防波堤兼码头及相关配套工程</w:t>
      </w:r>
      <w:r>
        <w:rPr>
          <w:rFonts w:hint="eastAsia" w:ascii="仿宋" w:hAnsi="仿宋" w:eastAsia="仿宋" w:cs="仿宋"/>
          <w:w w:val="95"/>
          <w:sz w:val="28"/>
          <w:szCs w:val="28"/>
          <w:u w:val="single"/>
          <w:lang w:val="en-US" w:eastAsia="zh-CN"/>
        </w:rPr>
        <w:t>监理</w:t>
      </w:r>
      <w:r>
        <w:rPr>
          <w:rFonts w:hint="eastAsia" w:ascii="仿宋" w:hAnsi="仿宋" w:eastAsia="仿宋" w:cs="仿宋"/>
          <w:w w:val="95"/>
          <w:sz w:val="28"/>
          <w:szCs w:val="28"/>
          <w:u w:val="single"/>
          <w:lang w:val="en-US"/>
        </w:rPr>
        <w:t>。</w:t>
      </w:r>
    </w:p>
    <w:p>
      <w:pPr>
        <w:pStyle w:val="2"/>
        <w:spacing w:line="364" w:lineRule="auto"/>
        <w:ind w:firstLine="280" w:firstLineChars="100"/>
        <w:contextualSpacing/>
        <w:jc w:val="both"/>
        <w:rPr>
          <w:rFonts w:ascii="仿宋" w:hAnsi="仿宋" w:eastAsia="仿宋" w:cs="仿宋"/>
          <w:sz w:val="28"/>
          <w:szCs w:val="28"/>
          <w:u w:val="single"/>
          <w:lang w:val="en-US"/>
        </w:rPr>
      </w:pPr>
      <w:r>
        <w:rPr>
          <w:rFonts w:hint="eastAsia" w:ascii="仿宋" w:hAnsi="仿宋" w:eastAsia="仿宋" w:cs="仿宋"/>
          <w:sz w:val="28"/>
          <w:szCs w:val="28"/>
          <w:lang w:val="en-US"/>
        </w:rPr>
        <w:t>（</w:t>
      </w:r>
      <w:r>
        <w:rPr>
          <w:rFonts w:hint="eastAsia" w:ascii="仿宋" w:hAnsi="仿宋" w:eastAsia="仿宋" w:cs="仿宋"/>
          <w:sz w:val="28"/>
          <w:szCs w:val="28"/>
          <w:lang w:val="en-US" w:eastAsia="zh-CN"/>
        </w:rPr>
        <w:t>三</w:t>
      </w:r>
      <w:r>
        <w:rPr>
          <w:rFonts w:hint="eastAsia" w:ascii="仿宋" w:hAnsi="仿宋" w:eastAsia="仿宋" w:cs="仿宋"/>
          <w:sz w:val="28"/>
          <w:szCs w:val="28"/>
          <w:lang w:val="en-US"/>
        </w:rPr>
        <w:t>）</w:t>
      </w:r>
      <w:r>
        <w:rPr>
          <w:rFonts w:hint="eastAsia" w:ascii="仿宋" w:hAnsi="仿宋" w:eastAsia="仿宋" w:cs="仿宋"/>
          <w:sz w:val="28"/>
          <w:szCs w:val="28"/>
          <w:lang w:val="en-US" w:eastAsia="zh-CN"/>
        </w:rPr>
        <w:t>招标范围：</w:t>
      </w:r>
      <w:r>
        <w:rPr>
          <w:rFonts w:hint="eastAsia" w:ascii="仿宋" w:hAnsi="仿宋" w:eastAsia="仿宋" w:cs="仿宋"/>
          <w:sz w:val="28"/>
          <w:szCs w:val="28"/>
          <w:u w:val="single"/>
          <w:lang w:val="en-US"/>
        </w:rPr>
        <w:t>防灾减灾功能分区防波堤兼码头及浮标上下水区、疏浚、灯塔、助航设施、水电通讯消防等相关配套工程</w:t>
      </w:r>
      <w:r>
        <w:rPr>
          <w:rFonts w:hint="eastAsia" w:ascii="仿宋" w:hAnsi="仿宋" w:eastAsia="仿宋" w:cs="仿宋"/>
          <w:sz w:val="28"/>
          <w:szCs w:val="28"/>
          <w:u w:val="single"/>
          <w:lang w:val="en-US" w:eastAsia="zh-CN"/>
        </w:rPr>
        <w:t>内容的全过程监理，以及本项目各专项验收、竣工验收所需的全部监理工作。</w:t>
      </w:r>
    </w:p>
    <w:p>
      <w:pPr>
        <w:pStyle w:val="2"/>
        <w:spacing w:line="360" w:lineRule="auto"/>
        <w:ind w:firstLine="280" w:firstLineChars="100"/>
        <w:contextualSpacing/>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四</w:t>
      </w:r>
      <w:r>
        <w:rPr>
          <w:rFonts w:hint="eastAsia" w:ascii="仿宋" w:hAnsi="仿宋" w:eastAsia="仿宋" w:cs="仿宋"/>
          <w:sz w:val="28"/>
          <w:szCs w:val="28"/>
        </w:rPr>
        <w:t>）标段划分：不分标段</w:t>
      </w:r>
    </w:p>
    <w:p>
      <w:pPr>
        <w:contextualSpacing/>
        <w:rPr>
          <w:rFonts w:ascii="仿宋" w:hAnsi="仿宋" w:eastAsia="仿宋" w:cs="仿宋"/>
          <w:sz w:val="28"/>
          <w:szCs w:val="28"/>
        </w:rPr>
      </w:pPr>
      <w:r>
        <w:rPr>
          <w:rFonts w:hint="eastAsia" w:ascii="仿宋" w:hAnsi="仿宋" w:eastAsia="仿宋" w:cs="仿宋"/>
          <w:sz w:val="28"/>
          <w:szCs w:val="28"/>
        </w:rPr>
        <w:t>二、投标人资格要求</w:t>
      </w:r>
    </w:p>
    <w:p>
      <w:pPr>
        <w:pStyle w:val="2"/>
        <w:spacing w:line="364" w:lineRule="auto"/>
        <w:ind w:firstLine="266" w:firstLineChars="100"/>
        <w:contextualSpacing/>
        <w:rPr>
          <w:rFonts w:ascii="仿宋" w:hAnsi="仿宋" w:eastAsia="仿宋" w:cs="仿宋"/>
          <w:sz w:val="28"/>
          <w:szCs w:val="28"/>
        </w:rPr>
      </w:pPr>
      <w:r>
        <w:rPr>
          <w:rFonts w:hint="eastAsia" w:ascii="仿宋" w:hAnsi="仿宋" w:eastAsia="仿宋" w:cs="仿宋"/>
          <w:w w:val="95"/>
          <w:sz w:val="28"/>
          <w:szCs w:val="28"/>
        </w:rPr>
        <w:t>（一）对投标企业的资质要求：</w:t>
      </w:r>
      <w:r>
        <w:rPr>
          <w:rFonts w:hint="eastAsia" w:ascii="仿宋" w:hAnsi="仿宋" w:eastAsia="仿宋" w:cs="仿宋"/>
          <w:w w:val="95"/>
          <w:sz w:val="28"/>
          <w:szCs w:val="28"/>
          <w:u w:val="single"/>
        </w:rPr>
        <w:t>具有独立法人资格；具有交通运输部核发的水运工程甲级监理资质或住建部核发的港口与航道工程</w:t>
      </w:r>
      <w:r>
        <w:rPr>
          <w:rFonts w:hint="eastAsia" w:ascii="仿宋" w:hAnsi="仿宋" w:eastAsia="仿宋" w:cs="仿宋"/>
          <w:w w:val="95"/>
          <w:sz w:val="28"/>
          <w:szCs w:val="28"/>
          <w:u w:val="single"/>
          <w:lang w:eastAsia="zh-CN"/>
        </w:rPr>
        <w:t>监理</w:t>
      </w:r>
      <w:r>
        <w:rPr>
          <w:rFonts w:hint="eastAsia" w:ascii="仿宋" w:hAnsi="仿宋" w:eastAsia="仿宋" w:cs="仿宋"/>
          <w:w w:val="95"/>
          <w:sz w:val="28"/>
          <w:szCs w:val="28"/>
          <w:u w:val="single"/>
        </w:rPr>
        <w:t>甲级资质或住建部核发的工程监理综合资质。</w:t>
      </w:r>
    </w:p>
    <w:p>
      <w:pPr>
        <w:pStyle w:val="2"/>
        <w:spacing w:line="267" w:lineRule="exact"/>
        <w:ind w:firstLine="280" w:firstLineChars="100"/>
        <w:contextualSpacing/>
        <w:rPr>
          <w:rFonts w:ascii="仿宋" w:hAnsi="仿宋" w:eastAsia="仿宋" w:cs="仿宋"/>
          <w:sz w:val="28"/>
          <w:szCs w:val="28"/>
        </w:rPr>
      </w:pPr>
      <w:r>
        <w:rPr>
          <w:rFonts w:hint="eastAsia" w:ascii="仿宋" w:hAnsi="仿宋" w:eastAsia="仿宋" w:cs="仿宋"/>
          <w:sz w:val="28"/>
          <w:szCs w:val="28"/>
        </w:rPr>
        <w:t>（二）对主要人员要求：</w:t>
      </w:r>
    </w:p>
    <w:p>
      <w:pPr>
        <w:pStyle w:val="11"/>
        <w:numPr>
          <w:ilvl w:val="0"/>
          <w:numId w:val="1"/>
        </w:numPr>
        <w:tabs>
          <w:tab w:val="left" w:pos="1201"/>
        </w:tabs>
        <w:spacing w:line="367" w:lineRule="auto"/>
        <w:ind w:left="0" w:firstLine="420"/>
        <w:contextualSpacing/>
        <w:rPr>
          <w:rFonts w:ascii="仿宋" w:hAnsi="仿宋" w:eastAsia="仿宋" w:cs="仿宋"/>
          <w:spacing w:val="-1"/>
          <w:w w:val="99"/>
          <w:sz w:val="28"/>
          <w:szCs w:val="28"/>
          <w:u w:val="single"/>
        </w:rPr>
      </w:pPr>
      <w:r>
        <w:rPr>
          <w:rFonts w:hint="eastAsia" w:ascii="仿宋" w:hAnsi="仿宋" w:eastAsia="仿宋" w:cs="仿宋"/>
          <w:spacing w:val="-1"/>
          <w:w w:val="99"/>
          <w:sz w:val="28"/>
          <w:szCs w:val="28"/>
          <w:u w:val="single"/>
        </w:rPr>
        <w:t>总监理工程师</w:t>
      </w:r>
      <w:r>
        <w:rPr>
          <w:rFonts w:hint="eastAsia" w:ascii="仿宋" w:hAnsi="仿宋" w:eastAsia="仿宋" w:cs="仿宋"/>
          <w:w w:val="99"/>
          <w:sz w:val="28"/>
          <w:szCs w:val="28"/>
          <w:u w:val="single"/>
        </w:rPr>
        <w:t>1</w:t>
      </w:r>
      <w:r>
        <w:rPr>
          <w:rFonts w:hint="eastAsia" w:ascii="仿宋" w:hAnsi="仿宋" w:eastAsia="仿宋" w:cs="仿宋"/>
          <w:spacing w:val="-52"/>
          <w:sz w:val="28"/>
          <w:szCs w:val="28"/>
          <w:u w:val="single"/>
        </w:rPr>
        <w:t xml:space="preserve">名 </w:t>
      </w:r>
      <w:r>
        <w:rPr>
          <w:rFonts w:hint="eastAsia" w:ascii="仿宋" w:hAnsi="仿宋" w:eastAsia="仿宋" w:cs="仿宋"/>
          <w:spacing w:val="-1"/>
          <w:w w:val="99"/>
          <w:sz w:val="28"/>
          <w:szCs w:val="28"/>
          <w:u w:val="single"/>
        </w:rPr>
        <w:t>：须具有交通运输部注册的水运工程行业（港口工程专业）监理工程师资格或住建部港口与航道工程注册监理工程师资格；为投标人正式人员且社保已缴纳一年及以上，未担任其他在建工程的项目总监。</w:t>
      </w:r>
      <w:r>
        <w:rPr>
          <w:rFonts w:hint="eastAsia" w:ascii="仿宋" w:hAnsi="仿宋" w:eastAsia="仿宋" w:cs="仿宋"/>
          <w:sz w:val="28"/>
          <w:szCs w:val="28"/>
          <w:u w:val="single"/>
        </w:rPr>
        <w:t>出具项目总监承诺函</w:t>
      </w:r>
      <w:r>
        <w:rPr>
          <w:rFonts w:hint="eastAsia" w:ascii="仿宋" w:hAnsi="仿宋" w:eastAsia="仿宋" w:cs="仿宋"/>
          <w:spacing w:val="-1"/>
          <w:w w:val="99"/>
          <w:sz w:val="28"/>
          <w:szCs w:val="28"/>
          <w:u w:val="single"/>
        </w:rPr>
        <w:t>。</w:t>
      </w:r>
    </w:p>
    <w:p>
      <w:pPr>
        <w:pStyle w:val="11"/>
        <w:numPr>
          <w:ilvl w:val="0"/>
          <w:numId w:val="1"/>
        </w:numPr>
        <w:tabs>
          <w:tab w:val="left" w:pos="1201"/>
        </w:tabs>
        <w:spacing w:line="364" w:lineRule="auto"/>
        <w:ind w:left="0" w:firstLine="420"/>
        <w:contextualSpacing/>
        <w:rPr>
          <w:rFonts w:ascii="仿宋" w:hAnsi="仿宋" w:eastAsia="仿宋" w:cs="仿宋"/>
          <w:spacing w:val="-1"/>
          <w:w w:val="99"/>
          <w:sz w:val="28"/>
          <w:szCs w:val="28"/>
          <w:u w:val="single"/>
        </w:rPr>
      </w:pPr>
      <w:r>
        <w:rPr>
          <w:rFonts w:hint="eastAsia" w:ascii="仿宋" w:hAnsi="仿宋" w:eastAsia="仿宋" w:cs="仿宋"/>
          <w:spacing w:val="-1"/>
          <w:w w:val="99"/>
          <w:sz w:val="28"/>
          <w:szCs w:val="28"/>
          <w:u w:val="single"/>
        </w:rPr>
        <w:t>专业监理工程师3名，其中：水运工程行业（港口工程专业）或港口与航道工程专业2名、机电安装专业1名；安全专业监理员2名。总监不能兼任项目班子其他人员。</w:t>
      </w:r>
    </w:p>
    <w:p>
      <w:pPr>
        <w:pStyle w:val="11"/>
        <w:tabs>
          <w:tab w:val="left" w:pos="200"/>
          <w:tab w:val="left" w:pos="1201"/>
        </w:tabs>
        <w:spacing w:line="364" w:lineRule="auto"/>
        <w:ind w:left="0" w:firstLine="260" w:firstLineChars="93"/>
        <w:contextualSpacing/>
        <w:rPr>
          <w:rFonts w:ascii="仿宋" w:hAnsi="仿宋" w:eastAsia="仿宋" w:cs="仿宋"/>
          <w:spacing w:val="6"/>
          <w:w w:val="95"/>
          <w:sz w:val="28"/>
          <w:szCs w:val="28"/>
          <w:u w:val="single"/>
        </w:rPr>
      </w:pPr>
      <w:r>
        <w:rPr>
          <w:rFonts w:hint="eastAsia" w:ascii="仿宋" w:hAnsi="仿宋" w:eastAsia="仿宋" w:cs="仿宋"/>
          <w:sz w:val="28"/>
          <w:szCs w:val="28"/>
          <w:lang w:val="zh-CN" w:eastAsia="zh-CN"/>
        </w:rPr>
        <w:t>（三）同类工程业绩要求</w:t>
      </w:r>
      <w:r>
        <w:rPr>
          <w:rFonts w:hint="eastAsia" w:ascii="仿宋" w:hAnsi="仿宋" w:eastAsia="仿宋" w:cs="仿宋"/>
          <w:w w:val="95"/>
          <w:sz w:val="28"/>
          <w:szCs w:val="28"/>
        </w:rPr>
        <w:t>：</w:t>
      </w:r>
      <w:r>
        <w:rPr>
          <w:rFonts w:hint="eastAsia" w:ascii="仿宋" w:hAnsi="仿宋" w:eastAsia="仿宋" w:cs="仿宋"/>
          <w:spacing w:val="6"/>
          <w:w w:val="95"/>
          <w:sz w:val="28"/>
          <w:szCs w:val="28"/>
          <w:u w:val="single"/>
        </w:rPr>
        <w:t xml:space="preserve">2016年1月1日以来至少独立完成过一项工程造价2亿元及以上或长度达到400米及以上的沿海码头或防波堤工程施工监理工作。 </w:t>
      </w:r>
    </w:p>
    <w:p>
      <w:pPr>
        <w:pStyle w:val="11"/>
        <w:tabs>
          <w:tab w:val="left" w:pos="200"/>
          <w:tab w:val="left" w:pos="1201"/>
        </w:tabs>
        <w:spacing w:line="364" w:lineRule="auto"/>
        <w:ind w:left="0" w:firstLine="260" w:firstLineChars="93"/>
        <w:contextualSpacing/>
        <w:rPr>
          <w:rFonts w:ascii="仿宋" w:hAnsi="仿宋" w:eastAsia="仿宋" w:cs="仿宋"/>
          <w:sz w:val="28"/>
          <w:szCs w:val="28"/>
        </w:rPr>
      </w:pPr>
      <w:r>
        <w:rPr>
          <w:rFonts w:hint="eastAsia" w:ascii="仿宋" w:hAnsi="仿宋" w:eastAsia="仿宋" w:cs="仿宋"/>
          <w:sz w:val="28"/>
          <w:szCs w:val="28"/>
        </w:rPr>
        <w:t>（四）本次招标</w:t>
      </w:r>
      <w:r>
        <w:rPr>
          <w:rFonts w:hint="eastAsia" w:ascii="仿宋" w:hAnsi="仿宋" w:eastAsia="仿宋" w:cs="仿宋"/>
          <w:sz w:val="28"/>
          <w:szCs w:val="28"/>
          <w:u w:val="single"/>
        </w:rPr>
        <w:t>不</w:t>
      </w:r>
      <w:r>
        <w:rPr>
          <w:rFonts w:hint="eastAsia" w:ascii="仿宋" w:hAnsi="仿宋" w:eastAsia="仿宋" w:cs="仿宋"/>
          <w:sz w:val="28"/>
          <w:szCs w:val="28"/>
        </w:rPr>
        <w:t>接受联合体投标。</w:t>
      </w:r>
    </w:p>
    <w:p>
      <w:pPr>
        <w:pStyle w:val="11"/>
        <w:tabs>
          <w:tab w:val="left" w:pos="200"/>
          <w:tab w:val="left" w:pos="1201"/>
        </w:tabs>
        <w:spacing w:line="364" w:lineRule="auto"/>
        <w:ind w:left="0" w:firstLine="247" w:firstLineChars="93"/>
        <w:contextualSpacing/>
        <w:rPr>
          <w:rFonts w:ascii="仿宋" w:hAnsi="仿宋" w:eastAsia="仿宋" w:cs="仿宋"/>
          <w:sz w:val="28"/>
          <w:szCs w:val="28"/>
        </w:rPr>
      </w:pPr>
      <w:r>
        <w:rPr>
          <w:rFonts w:hint="eastAsia" w:ascii="仿宋" w:hAnsi="仿宋" w:eastAsia="仿宋" w:cs="仿宋"/>
          <w:w w:val="95"/>
          <w:sz w:val="28"/>
          <w:szCs w:val="28"/>
        </w:rPr>
        <w:t>（五）与招标人存在利害关系可能影响招标公正性的单位，不得参加投标。单位负责人为同一人或者存在控股、管理关系的不同单位，不得参加同一标段投标或者未划分标段的同一招标项目投标，否则相关</w:t>
      </w:r>
      <w:r>
        <w:rPr>
          <w:rFonts w:hint="eastAsia" w:ascii="仿宋" w:hAnsi="仿宋" w:eastAsia="仿宋" w:cs="仿宋"/>
          <w:sz w:val="28"/>
          <w:szCs w:val="28"/>
        </w:rPr>
        <w:t>投标均无效。</w:t>
      </w:r>
    </w:p>
    <w:p>
      <w:pPr>
        <w:pStyle w:val="11"/>
        <w:tabs>
          <w:tab w:val="left" w:pos="200"/>
          <w:tab w:val="left" w:pos="1201"/>
        </w:tabs>
        <w:spacing w:line="364" w:lineRule="auto"/>
        <w:ind w:left="0" w:firstLine="261" w:firstLineChars="93"/>
        <w:contextualSpacing/>
        <w:rPr>
          <w:rFonts w:ascii="仿宋" w:hAnsi="仿宋" w:eastAsia="仿宋" w:cs="仿宋"/>
          <w:sz w:val="28"/>
          <w:szCs w:val="28"/>
        </w:rPr>
      </w:pPr>
      <w:r>
        <w:rPr>
          <w:rFonts w:hint="eastAsia" w:ascii="仿宋" w:hAnsi="仿宋" w:eastAsia="仿宋" w:cs="仿宋"/>
          <w:spacing w:val="2"/>
          <w:w w:val="99"/>
          <w:sz w:val="28"/>
          <w:szCs w:val="28"/>
        </w:rPr>
        <w:t>（</w:t>
      </w:r>
      <w:r>
        <w:rPr>
          <w:rFonts w:hint="eastAsia" w:ascii="仿宋" w:hAnsi="仿宋" w:eastAsia="仿宋" w:cs="仿宋"/>
          <w:spacing w:val="-1"/>
          <w:w w:val="99"/>
          <w:sz w:val="28"/>
          <w:szCs w:val="28"/>
        </w:rPr>
        <w:t>六）</w:t>
      </w:r>
      <w:r>
        <w:rPr>
          <w:rFonts w:hint="eastAsia" w:ascii="仿宋" w:hAnsi="仿宋" w:eastAsia="仿宋" w:cs="仿宋"/>
          <w:spacing w:val="-15"/>
          <w:w w:val="99"/>
          <w:sz w:val="28"/>
          <w:szCs w:val="28"/>
        </w:rPr>
        <w:t>在“信用中国”</w:t>
      </w:r>
      <w:r>
        <w:rPr>
          <w:rFonts w:hint="eastAsia" w:ascii="仿宋" w:hAnsi="仿宋" w:eastAsia="仿宋" w:cs="仿宋"/>
          <w:spacing w:val="-1"/>
          <w:w w:val="99"/>
          <w:sz w:val="28"/>
          <w:szCs w:val="28"/>
        </w:rPr>
        <w:t>（</w:t>
      </w:r>
      <w:r>
        <w:rPr>
          <w:rFonts w:hint="eastAsia" w:ascii="仿宋" w:hAnsi="仿宋" w:eastAsia="仿宋" w:cs="仿宋"/>
          <w:spacing w:val="1"/>
          <w:w w:val="99"/>
          <w:sz w:val="28"/>
          <w:szCs w:val="28"/>
        </w:rPr>
        <w:t>htt</w:t>
      </w:r>
      <w:r>
        <w:rPr>
          <w:rFonts w:hint="eastAsia" w:ascii="仿宋" w:hAnsi="仿宋" w:eastAsia="仿宋" w:cs="仿宋"/>
          <w:spacing w:val="-2"/>
          <w:w w:val="99"/>
          <w:sz w:val="28"/>
          <w:szCs w:val="28"/>
        </w:rPr>
        <w:t>p</w:t>
      </w:r>
      <w:r>
        <w:rPr>
          <w:rFonts w:hint="eastAsia" w:ascii="仿宋" w:hAnsi="仿宋" w:eastAsia="仿宋" w:cs="仿宋"/>
          <w:spacing w:val="1"/>
          <w:w w:val="99"/>
          <w:sz w:val="28"/>
          <w:szCs w:val="28"/>
        </w:rPr>
        <w:t>s:/</w:t>
      </w:r>
      <w:r>
        <w:rPr>
          <w:rFonts w:hint="eastAsia" w:ascii="仿宋" w:hAnsi="仿宋" w:eastAsia="仿宋" w:cs="仿宋"/>
          <w:spacing w:val="-2"/>
          <w:w w:val="99"/>
          <w:sz w:val="28"/>
          <w:szCs w:val="28"/>
        </w:rPr>
        <w:t>/</w:t>
      </w:r>
      <w:r>
        <w:fldChar w:fldCharType="begin"/>
      </w:r>
      <w:r>
        <w:instrText xml:space="preserve"> HYPERLINK "http://www.creditchina.gov.cn/" \h </w:instrText>
      </w:r>
      <w:r>
        <w:fldChar w:fldCharType="separate"/>
      </w:r>
      <w:r>
        <w:rPr>
          <w:rFonts w:hint="eastAsia" w:ascii="仿宋" w:hAnsi="仿宋" w:eastAsia="仿宋" w:cs="仿宋"/>
          <w:spacing w:val="1"/>
          <w:w w:val="99"/>
          <w:sz w:val="28"/>
          <w:szCs w:val="28"/>
        </w:rPr>
        <w:t>www</w:t>
      </w:r>
      <w:r>
        <w:rPr>
          <w:rFonts w:hint="eastAsia" w:ascii="仿宋" w:hAnsi="仿宋" w:eastAsia="仿宋" w:cs="仿宋"/>
          <w:spacing w:val="-2"/>
          <w:w w:val="99"/>
          <w:sz w:val="28"/>
          <w:szCs w:val="28"/>
        </w:rPr>
        <w:t>.</w:t>
      </w:r>
      <w:r>
        <w:rPr>
          <w:rFonts w:hint="eastAsia" w:ascii="仿宋" w:hAnsi="仿宋" w:eastAsia="仿宋" w:cs="仿宋"/>
          <w:spacing w:val="1"/>
          <w:w w:val="99"/>
          <w:sz w:val="28"/>
          <w:szCs w:val="28"/>
        </w:rPr>
        <w:t>cre</w:t>
      </w:r>
      <w:r>
        <w:rPr>
          <w:rFonts w:hint="eastAsia" w:ascii="仿宋" w:hAnsi="仿宋" w:eastAsia="仿宋" w:cs="仿宋"/>
          <w:spacing w:val="-2"/>
          <w:w w:val="99"/>
          <w:sz w:val="28"/>
          <w:szCs w:val="28"/>
        </w:rPr>
        <w:t>d</w:t>
      </w:r>
      <w:r>
        <w:rPr>
          <w:rFonts w:hint="eastAsia" w:ascii="仿宋" w:hAnsi="仿宋" w:eastAsia="仿宋" w:cs="仿宋"/>
          <w:spacing w:val="1"/>
          <w:w w:val="99"/>
          <w:sz w:val="28"/>
          <w:szCs w:val="28"/>
        </w:rPr>
        <w:t>itc</w:t>
      </w:r>
      <w:r>
        <w:rPr>
          <w:rFonts w:hint="eastAsia" w:ascii="仿宋" w:hAnsi="仿宋" w:eastAsia="仿宋" w:cs="仿宋"/>
          <w:spacing w:val="-2"/>
          <w:w w:val="99"/>
          <w:sz w:val="28"/>
          <w:szCs w:val="28"/>
        </w:rPr>
        <w:t>h</w:t>
      </w:r>
      <w:r>
        <w:rPr>
          <w:rFonts w:hint="eastAsia" w:ascii="仿宋" w:hAnsi="仿宋" w:eastAsia="仿宋" w:cs="仿宋"/>
          <w:spacing w:val="1"/>
          <w:w w:val="99"/>
          <w:sz w:val="28"/>
          <w:szCs w:val="28"/>
        </w:rPr>
        <w:t>ina</w:t>
      </w:r>
      <w:r>
        <w:rPr>
          <w:rFonts w:hint="eastAsia" w:ascii="仿宋" w:hAnsi="仿宋" w:eastAsia="仿宋" w:cs="仿宋"/>
          <w:spacing w:val="-2"/>
          <w:w w:val="99"/>
          <w:sz w:val="28"/>
          <w:szCs w:val="28"/>
        </w:rPr>
        <w:t>.</w:t>
      </w:r>
      <w:r>
        <w:rPr>
          <w:rFonts w:hint="eastAsia" w:ascii="仿宋" w:hAnsi="仿宋" w:eastAsia="仿宋" w:cs="仿宋"/>
          <w:spacing w:val="1"/>
          <w:w w:val="99"/>
          <w:sz w:val="28"/>
          <w:szCs w:val="28"/>
        </w:rPr>
        <w:t>gov</w:t>
      </w:r>
      <w:r>
        <w:rPr>
          <w:rFonts w:hint="eastAsia" w:ascii="仿宋" w:hAnsi="仿宋" w:eastAsia="仿宋" w:cs="仿宋"/>
          <w:spacing w:val="-2"/>
          <w:w w:val="99"/>
          <w:sz w:val="28"/>
          <w:szCs w:val="28"/>
        </w:rPr>
        <w:t>.</w:t>
      </w:r>
      <w:r>
        <w:rPr>
          <w:rFonts w:hint="eastAsia" w:ascii="仿宋" w:hAnsi="仿宋" w:eastAsia="仿宋" w:cs="仿宋"/>
          <w:spacing w:val="1"/>
          <w:w w:val="99"/>
          <w:sz w:val="28"/>
          <w:szCs w:val="28"/>
        </w:rPr>
        <w:t>cn</w:t>
      </w:r>
      <w:r>
        <w:rPr>
          <w:rFonts w:hint="eastAsia" w:ascii="仿宋" w:hAnsi="仿宋" w:eastAsia="仿宋" w:cs="仿宋"/>
          <w:spacing w:val="-2"/>
          <w:w w:val="99"/>
          <w:sz w:val="28"/>
          <w:szCs w:val="28"/>
        </w:rPr>
        <w:t>/</w:t>
      </w:r>
      <w:r>
        <w:rPr>
          <w:rFonts w:hint="eastAsia" w:ascii="仿宋" w:hAnsi="仿宋" w:eastAsia="仿宋" w:cs="仿宋"/>
          <w:spacing w:val="-2"/>
          <w:w w:val="99"/>
          <w:sz w:val="28"/>
          <w:szCs w:val="28"/>
        </w:rPr>
        <w:fldChar w:fldCharType="end"/>
      </w:r>
      <w:r>
        <w:rPr>
          <w:rFonts w:hint="eastAsia" w:ascii="仿宋" w:hAnsi="仿宋" w:eastAsia="仿宋" w:cs="仿宋"/>
          <w:spacing w:val="-1"/>
          <w:w w:val="99"/>
          <w:sz w:val="28"/>
          <w:szCs w:val="28"/>
        </w:rPr>
        <w:t>）中被列入失信被执行人名单的投标人，</w:t>
      </w:r>
      <w:r>
        <w:rPr>
          <w:rFonts w:hint="eastAsia" w:ascii="仿宋" w:hAnsi="仿宋" w:eastAsia="仿宋" w:cs="仿宋"/>
          <w:sz w:val="28"/>
          <w:szCs w:val="28"/>
        </w:rPr>
        <w:t>不得参加投标。</w:t>
      </w:r>
    </w:p>
    <w:p>
      <w:pPr>
        <w:pStyle w:val="11"/>
        <w:tabs>
          <w:tab w:val="left" w:pos="200"/>
          <w:tab w:val="left" w:pos="1201"/>
        </w:tabs>
        <w:spacing w:line="364" w:lineRule="auto"/>
        <w:ind w:left="0" w:firstLine="247" w:firstLineChars="93"/>
        <w:contextualSpacing/>
        <w:rPr>
          <w:rFonts w:ascii="仿宋" w:hAnsi="仿宋" w:eastAsia="仿宋" w:cs="仿宋"/>
          <w:spacing w:val="6"/>
          <w:w w:val="95"/>
          <w:sz w:val="28"/>
          <w:szCs w:val="28"/>
          <w:u w:val="single"/>
        </w:rPr>
      </w:pPr>
      <w:r>
        <w:rPr>
          <w:rFonts w:hint="eastAsia" w:ascii="仿宋" w:hAnsi="仿宋" w:eastAsia="仿宋" w:cs="仿宋"/>
          <w:w w:val="95"/>
          <w:sz w:val="28"/>
          <w:szCs w:val="28"/>
        </w:rPr>
        <w:t>（七）同类工程的界定：</w:t>
      </w:r>
      <w:r>
        <w:rPr>
          <w:rFonts w:hint="eastAsia" w:ascii="仿宋" w:hAnsi="仿宋" w:eastAsia="仿宋" w:cs="仿宋"/>
          <w:spacing w:val="11"/>
          <w:w w:val="95"/>
          <w:sz w:val="28"/>
          <w:szCs w:val="28"/>
          <w:u w:val="single"/>
        </w:rPr>
        <w:t>指自</w:t>
      </w:r>
      <w:r>
        <w:rPr>
          <w:rFonts w:hint="eastAsia" w:ascii="仿宋" w:hAnsi="仿宋" w:eastAsia="仿宋" w:cs="仿宋"/>
          <w:sz w:val="28"/>
          <w:szCs w:val="28"/>
          <w:u w:val="single"/>
        </w:rPr>
        <w:t>201</w:t>
      </w:r>
      <w:r>
        <w:rPr>
          <w:rFonts w:hint="eastAsia" w:ascii="仿宋" w:hAnsi="仿宋" w:eastAsia="仿宋" w:cs="仿宋"/>
          <w:spacing w:val="-33"/>
          <w:sz w:val="28"/>
          <w:szCs w:val="28"/>
          <w:u w:val="single"/>
        </w:rPr>
        <w:t xml:space="preserve">6 年 </w:t>
      </w:r>
      <w:r>
        <w:rPr>
          <w:rFonts w:hint="eastAsia" w:ascii="仿宋" w:hAnsi="仿宋" w:eastAsia="仿宋" w:cs="仿宋"/>
          <w:sz w:val="28"/>
          <w:szCs w:val="28"/>
          <w:u w:val="single"/>
        </w:rPr>
        <w:t>1</w:t>
      </w:r>
      <w:r>
        <w:rPr>
          <w:rFonts w:hint="eastAsia" w:ascii="仿宋" w:hAnsi="仿宋" w:eastAsia="仿宋" w:cs="仿宋"/>
          <w:spacing w:val="-34"/>
          <w:sz w:val="28"/>
          <w:szCs w:val="28"/>
          <w:u w:val="single"/>
        </w:rPr>
        <w:t xml:space="preserve"> 月 </w:t>
      </w:r>
      <w:r>
        <w:rPr>
          <w:rFonts w:hint="eastAsia" w:ascii="仿宋" w:hAnsi="仿宋" w:eastAsia="仿宋" w:cs="仿宋"/>
          <w:sz w:val="28"/>
          <w:szCs w:val="28"/>
          <w:u w:val="single"/>
        </w:rPr>
        <w:t>1</w:t>
      </w:r>
      <w:r>
        <w:rPr>
          <w:rFonts w:hint="eastAsia" w:ascii="仿宋" w:hAnsi="仿宋" w:eastAsia="仿宋" w:cs="仿宋"/>
          <w:spacing w:val="-6"/>
          <w:sz w:val="28"/>
          <w:szCs w:val="28"/>
          <w:u w:val="single"/>
        </w:rPr>
        <w:t xml:space="preserve"> 日</w:t>
      </w:r>
      <w:r>
        <w:rPr>
          <w:rFonts w:hint="eastAsia" w:ascii="仿宋" w:hAnsi="仿宋" w:eastAsia="仿宋" w:cs="仿宋"/>
          <w:w w:val="95"/>
          <w:sz w:val="28"/>
          <w:szCs w:val="28"/>
          <w:u w:val="single"/>
        </w:rPr>
        <w:t>以来独立完成过的工程造价2亿元及以上或长度达到400米及以上的沿海码头或防波堤工程施工监理工作。</w:t>
      </w:r>
      <w:r>
        <w:rPr>
          <w:rFonts w:hint="eastAsia" w:ascii="仿宋" w:hAnsi="仿宋" w:eastAsia="仿宋" w:cs="仿宋"/>
          <w:spacing w:val="6"/>
          <w:w w:val="95"/>
          <w:sz w:val="28"/>
          <w:szCs w:val="28"/>
          <w:u w:val="single"/>
        </w:rPr>
        <w:t>以合同、交（竣）工验收证书或项目评定书或监理业务手册为有效依据，时间以交（竣）工验收证书或项目评定书或监理业务手册签字时间为准）。</w:t>
      </w:r>
    </w:p>
    <w:p>
      <w:pPr>
        <w:pStyle w:val="10"/>
        <w:spacing w:line="281" w:lineRule="exact"/>
        <w:ind w:left="0"/>
        <w:contextualSpacing/>
        <w:rPr>
          <w:rFonts w:ascii="仿宋" w:hAnsi="仿宋" w:eastAsia="仿宋" w:cs="仿宋"/>
          <w:sz w:val="28"/>
          <w:szCs w:val="28"/>
        </w:rPr>
      </w:pPr>
      <w:r>
        <w:rPr>
          <w:rFonts w:hint="eastAsia" w:ascii="仿宋" w:hAnsi="仿宋" w:eastAsia="仿宋" w:cs="仿宋"/>
          <w:sz w:val="28"/>
          <w:szCs w:val="28"/>
        </w:rPr>
        <w:t>三、资格审查办法及评标办法</w:t>
      </w:r>
    </w:p>
    <w:p>
      <w:pPr>
        <w:pStyle w:val="2"/>
        <w:contextualSpacing/>
        <w:rPr>
          <w:rFonts w:ascii="仿宋" w:hAnsi="仿宋" w:eastAsia="仿宋" w:cs="仿宋"/>
          <w:sz w:val="28"/>
          <w:szCs w:val="28"/>
        </w:rPr>
      </w:pPr>
      <w:r>
        <w:rPr>
          <w:rFonts w:hint="eastAsia" w:ascii="仿宋" w:hAnsi="仿宋" w:eastAsia="仿宋" w:cs="仿宋"/>
          <w:sz w:val="28"/>
          <w:szCs w:val="28"/>
        </w:rPr>
        <w:t>本项目采用资格后审方式：评标办法采用综合评估法。</w:t>
      </w:r>
    </w:p>
    <w:p>
      <w:pPr>
        <w:pStyle w:val="10"/>
        <w:ind w:left="0"/>
        <w:contextualSpacing/>
        <w:rPr>
          <w:rFonts w:ascii="仿宋" w:hAnsi="仿宋" w:eastAsia="仿宋" w:cs="仿宋"/>
          <w:sz w:val="28"/>
          <w:szCs w:val="28"/>
        </w:rPr>
      </w:pPr>
      <w:r>
        <w:rPr>
          <w:rFonts w:hint="eastAsia" w:ascii="仿宋" w:hAnsi="仿宋" w:eastAsia="仿宋" w:cs="仿宋"/>
          <w:sz w:val="28"/>
          <w:szCs w:val="28"/>
        </w:rPr>
        <w:t>四、招标文件的获取</w:t>
      </w:r>
    </w:p>
    <w:p>
      <w:pPr>
        <w:pStyle w:val="2"/>
        <w:spacing w:line="364" w:lineRule="auto"/>
        <w:ind w:firstLine="420"/>
        <w:contextualSpacing/>
        <w:jc w:val="both"/>
        <w:rPr>
          <w:rFonts w:ascii="仿宋" w:hAnsi="仿宋" w:eastAsia="仿宋" w:cs="仿宋"/>
          <w:w w:val="95"/>
          <w:sz w:val="28"/>
          <w:szCs w:val="28"/>
        </w:rPr>
      </w:pPr>
      <w:r>
        <w:rPr>
          <w:rFonts w:hint="eastAsia" w:ascii="仿宋" w:hAnsi="仿宋" w:eastAsia="仿宋" w:cs="仿宋"/>
          <w:w w:val="95"/>
          <w:sz w:val="28"/>
          <w:szCs w:val="28"/>
        </w:rPr>
        <w:t>开标时间前在全国公共资源交易平台（山东省青岛市）青岛市公共资源交易电子服务系统（</w:t>
      </w:r>
      <w:r>
        <w:fldChar w:fldCharType="begin"/>
      </w:r>
      <w:r>
        <w:instrText xml:space="preserve"> HYPERLINK "http://ggzy.qingdao.gov.cn/" \h </w:instrText>
      </w:r>
      <w:r>
        <w:fldChar w:fldCharType="separate"/>
      </w:r>
      <w:r>
        <w:rPr>
          <w:rFonts w:hint="eastAsia" w:ascii="仿宋" w:hAnsi="仿宋" w:eastAsia="仿宋" w:cs="仿宋"/>
          <w:w w:val="95"/>
          <w:sz w:val="28"/>
          <w:szCs w:val="28"/>
        </w:rPr>
        <w:t>http://ggzy.qingdao.gov.cn</w:t>
      </w:r>
      <w:r>
        <w:rPr>
          <w:rFonts w:hint="eastAsia" w:ascii="仿宋" w:hAnsi="仿宋" w:eastAsia="仿宋" w:cs="仿宋"/>
          <w:w w:val="95"/>
          <w:sz w:val="28"/>
          <w:szCs w:val="28"/>
        </w:rPr>
        <w:fldChar w:fldCharType="end"/>
      </w:r>
      <w:r>
        <w:rPr>
          <w:rFonts w:hint="eastAsia" w:ascii="仿宋" w:hAnsi="仿宋" w:eastAsia="仿宋" w:cs="仿宋"/>
          <w:w w:val="95"/>
          <w:sz w:val="28"/>
          <w:szCs w:val="28"/>
        </w:rPr>
        <w:t xml:space="preserve">）本项目招标公告页面免费下载招标文件。 </w:t>
      </w:r>
    </w:p>
    <w:p>
      <w:pPr>
        <w:pStyle w:val="2"/>
        <w:spacing w:line="364" w:lineRule="auto"/>
        <w:contextualSpacing/>
        <w:jc w:val="both"/>
        <w:rPr>
          <w:rFonts w:ascii="仿宋" w:hAnsi="仿宋" w:eastAsia="仿宋" w:cs="仿宋"/>
          <w:w w:val="95"/>
          <w:sz w:val="28"/>
          <w:szCs w:val="28"/>
        </w:rPr>
      </w:pPr>
      <w:r>
        <w:rPr>
          <w:rFonts w:hint="eastAsia" w:ascii="仿宋" w:hAnsi="仿宋" w:eastAsia="仿宋" w:cs="仿宋"/>
          <w:w w:val="95"/>
          <w:sz w:val="28"/>
          <w:szCs w:val="28"/>
        </w:rPr>
        <w:t>五、投标文件的递交</w:t>
      </w:r>
    </w:p>
    <w:p>
      <w:pPr>
        <w:pStyle w:val="2"/>
        <w:spacing w:line="364" w:lineRule="auto"/>
        <w:ind w:firstLine="266" w:firstLineChars="100"/>
        <w:contextualSpacing/>
        <w:jc w:val="both"/>
        <w:rPr>
          <w:rFonts w:ascii="仿宋" w:hAnsi="仿宋" w:eastAsia="仿宋" w:cs="仿宋"/>
          <w:w w:val="95"/>
          <w:sz w:val="28"/>
          <w:szCs w:val="28"/>
        </w:rPr>
      </w:pPr>
      <w:r>
        <w:rPr>
          <w:rFonts w:hint="eastAsia" w:ascii="仿宋" w:hAnsi="仿宋" w:eastAsia="仿宋" w:cs="仿宋"/>
          <w:w w:val="95"/>
          <w:sz w:val="28"/>
          <w:szCs w:val="28"/>
        </w:rPr>
        <w:t>递交投标文件截止时间(投标截止时间，下同)详见全国公共资源交易平台（山东省青岛市）青岛市公共资源交易电子服务系统招标公告页面，投标人应于当日投标截止时间前将投标文件递交至青岛市公共资源交易大厅（青岛市市南区福州南路 17-27 号公共资源交易中心）；逾期送达或者未送达指定地点的投标文件，招标人不予受理。</w:t>
      </w:r>
    </w:p>
    <w:p>
      <w:pPr>
        <w:pStyle w:val="2"/>
        <w:spacing w:line="364" w:lineRule="auto"/>
        <w:contextualSpacing/>
        <w:jc w:val="both"/>
        <w:rPr>
          <w:rFonts w:ascii="仿宋" w:hAnsi="仿宋" w:eastAsia="仿宋" w:cs="仿宋"/>
          <w:w w:val="95"/>
          <w:sz w:val="28"/>
          <w:szCs w:val="28"/>
          <w:lang w:val="en-US" w:eastAsia="zh-CN"/>
        </w:rPr>
      </w:pPr>
      <w:r>
        <w:rPr>
          <w:rFonts w:hint="eastAsia" w:ascii="仿宋" w:hAnsi="仿宋" w:eastAsia="仿宋" w:cs="仿宋"/>
          <w:w w:val="95"/>
          <w:sz w:val="28"/>
          <w:szCs w:val="28"/>
          <w:lang w:eastAsia="zh-CN"/>
        </w:rPr>
        <w:t>六、</w:t>
      </w:r>
      <w:r>
        <w:rPr>
          <w:rFonts w:hint="eastAsia" w:ascii="仿宋" w:hAnsi="仿宋" w:eastAsia="仿宋" w:cs="仿宋"/>
          <w:w w:val="95"/>
          <w:sz w:val="28"/>
          <w:szCs w:val="28"/>
          <w:lang w:val="en-US" w:eastAsia="zh-CN"/>
        </w:rPr>
        <w:t>投标截止时间、开标时间及地点：</w:t>
      </w:r>
    </w:p>
    <w:p>
      <w:pPr>
        <w:snapToGrid w:val="0"/>
        <w:spacing w:line="520" w:lineRule="exact"/>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投标截止时间、开标时间：2021-</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w:t>
      </w:r>
    </w:p>
    <w:p>
      <w:pPr>
        <w:snapToGrid w:val="0"/>
        <w:spacing w:line="520" w:lineRule="exact"/>
        <w:ind w:firstLine="280" w:firstLineChars="100"/>
        <w:rPr>
          <w:rFonts w:ascii="仿宋" w:hAnsi="仿宋" w:eastAsia="仿宋" w:cs="仿宋"/>
          <w:color w:val="auto"/>
          <w:sz w:val="28"/>
          <w:szCs w:val="28"/>
        </w:rPr>
      </w:pPr>
      <w:r>
        <w:rPr>
          <w:rFonts w:hint="eastAsia" w:ascii="仿宋" w:hAnsi="仿宋" w:eastAsia="仿宋" w:cs="仿宋"/>
          <w:color w:val="auto"/>
          <w:sz w:val="28"/>
          <w:szCs w:val="28"/>
        </w:rPr>
        <w:t>开标地点:</w:t>
      </w:r>
      <w:r>
        <w:rPr>
          <w:rFonts w:hint="eastAsia" w:ascii="微软雅黑" w:hAnsi="微软雅黑" w:eastAsia="微软雅黑"/>
          <w:color w:val="auto"/>
          <w:szCs w:val="21"/>
        </w:rPr>
        <w:t xml:space="preserve"> </w:t>
      </w:r>
      <w:r>
        <w:rPr>
          <w:rFonts w:hint="eastAsia" w:ascii="仿宋" w:hAnsi="仿宋" w:eastAsia="仿宋" w:cs="仿宋"/>
          <w:color w:val="auto"/>
          <w:sz w:val="28"/>
          <w:szCs w:val="28"/>
        </w:rPr>
        <w:t>青岛市市南区福州南路17-27号公共资源交易中心【三楼1</w:t>
      </w:r>
      <w:r>
        <w:rPr>
          <w:rFonts w:hint="eastAsia" w:ascii="仿宋" w:hAnsi="仿宋" w:eastAsia="仿宋" w:cs="仿宋"/>
          <w:color w:val="auto"/>
          <w:sz w:val="28"/>
          <w:szCs w:val="28"/>
          <w:lang w:val="en-US" w:eastAsia="zh-CN"/>
        </w:rPr>
        <w:t>2</w:t>
      </w:r>
      <w:bookmarkStart w:id="0" w:name="_GoBack"/>
      <w:bookmarkEnd w:id="0"/>
      <w:r>
        <w:rPr>
          <w:rFonts w:hint="eastAsia" w:ascii="仿宋" w:hAnsi="仿宋" w:eastAsia="仿宋" w:cs="仿宋"/>
          <w:color w:val="auto"/>
          <w:sz w:val="28"/>
          <w:szCs w:val="28"/>
        </w:rPr>
        <w:t>号开标室 】</w:t>
      </w:r>
    </w:p>
    <w:p>
      <w:pPr>
        <w:pStyle w:val="2"/>
        <w:spacing w:line="364" w:lineRule="auto"/>
        <w:contextualSpacing/>
        <w:jc w:val="both"/>
        <w:rPr>
          <w:rFonts w:ascii="仿宋" w:hAnsi="仿宋" w:eastAsia="仿宋" w:cs="仿宋"/>
          <w:w w:val="95"/>
          <w:sz w:val="28"/>
          <w:szCs w:val="28"/>
        </w:rPr>
      </w:pPr>
      <w:r>
        <w:rPr>
          <w:rFonts w:hint="eastAsia" w:ascii="仿宋" w:hAnsi="仿宋" w:eastAsia="仿宋" w:cs="仿宋"/>
          <w:w w:val="95"/>
          <w:sz w:val="28"/>
          <w:szCs w:val="28"/>
          <w:lang w:eastAsia="zh-CN"/>
        </w:rPr>
        <w:t>七</w:t>
      </w:r>
      <w:r>
        <w:rPr>
          <w:rFonts w:hint="eastAsia" w:ascii="仿宋" w:hAnsi="仿宋" w:eastAsia="仿宋" w:cs="仿宋"/>
          <w:w w:val="95"/>
          <w:sz w:val="28"/>
          <w:szCs w:val="28"/>
        </w:rPr>
        <w:t>、发布公告的媒介</w:t>
      </w:r>
      <w:r>
        <w:rPr>
          <w:rFonts w:hint="eastAsia" w:ascii="仿宋" w:hAnsi="仿宋" w:eastAsia="仿宋" w:cs="仿宋"/>
          <w:w w:val="95"/>
          <w:sz w:val="28"/>
          <w:szCs w:val="28"/>
        </w:rPr>
        <w:tab/>
      </w:r>
    </w:p>
    <w:p>
      <w:pPr>
        <w:pStyle w:val="2"/>
        <w:spacing w:line="364" w:lineRule="auto"/>
        <w:ind w:firstLine="266" w:firstLineChars="100"/>
        <w:contextualSpacing/>
        <w:rPr>
          <w:rFonts w:ascii="仿宋" w:hAnsi="仿宋" w:eastAsia="仿宋" w:cs="仿宋"/>
          <w:w w:val="95"/>
          <w:sz w:val="28"/>
          <w:szCs w:val="28"/>
          <w:lang w:val="en-US"/>
        </w:rPr>
      </w:pPr>
      <w:r>
        <w:rPr>
          <w:rFonts w:hint="eastAsia" w:ascii="仿宋" w:hAnsi="仿宋" w:eastAsia="仿宋" w:cs="仿宋"/>
          <w:w w:val="95"/>
          <w:sz w:val="28"/>
          <w:szCs w:val="28"/>
          <w:lang w:val="en-US"/>
        </w:rPr>
        <w:t>本次招标公告同时在中国政府采购网、全国公共资源交易平台（山东省青岛市）青岛市公共资源交易电子服务系统、自然资源部北海局官网上发布。</w:t>
      </w:r>
    </w:p>
    <w:p>
      <w:pPr>
        <w:pStyle w:val="2"/>
        <w:spacing w:line="276" w:lineRule="auto"/>
        <w:contextualSpacing/>
        <w:rPr>
          <w:rFonts w:ascii="仿宋" w:hAnsi="仿宋" w:eastAsia="仿宋" w:cs="仿宋"/>
          <w:w w:val="95"/>
          <w:sz w:val="28"/>
          <w:szCs w:val="28"/>
          <w:lang w:val="en-US"/>
        </w:rPr>
      </w:pPr>
      <w:r>
        <w:rPr>
          <w:rFonts w:hint="eastAsia" w:ascii="仿宋" w:hAnsi="仿宋" w:eastAsia="仿宋" w:cs="仿宋"/>
          <w:w w:val="95"/>
          <w:sz w:val="28"/>
          <w:szCs w:val="28"/>
          <w:lang w:val="en-US" w:eastAsia="zh-CN"/>
        </w:rPr>
        <w:t>八</w:t>
      </w:r>
      <w:r>
        <w:rPr>
          <w:rFonts w:hint="eastAsia" w:ascii="仿宋" w:hAnsi="仿宋" w:eastAsia="仿宋" w:cs="仿宋"/>
          <w:w w:val="95"/>
          <w:sz w:val="28"/>
          <w:szCs w:val="28"/>
          <w:lang w:val="en-US"/>
        </w:rPr>
        <w:t>、其他说明</w:t>
      </w:r>
    </w:p>
    <w:p>
      <w:pPr>
        <w:pStyle w:val="11"/>
        <w:tabs>
          <w:tab w:val="left" w:pos="989"/>
        </w:tabs>
        <w:spacing w:line="276" w:lineRule="auto"/>
        <w:ind w:left="0" w:firstLine="266" w:firstLineChars="100"/>
        <w:contextualSpacing/>
        <w:rPr>
          <w:rFonts w:ascii="仿宋" w:hAnsi="仿宋" w:eastAsia="仿宋" w:cs="仿宋"/>
          <w:w w:val="95"/>
          <w:sz w:val="28"/>
          <w:szCs w:val="28"/>
          <w:lang w:eastAsia="zh-CN"/>
        </w:rPr>
      </w:pPr>
      <w:r>
        <w:rPr>
          <w:rFonts w:hint="eastAsia" w:ascii="仿宋" w:hAnsi="仿宋" w:eastAsia="仿宋" w:cs="仿宋"/>
          <w:w w:val="95"/>
          <w:sz w:val="28"/>
          <w:szCs w:val="28"/>
          <w:lang w:eastAsia="zh-CN"/>
        </w:rPr>
        <w:t>1. 本工程无保密内容。</w:t>
      </w:r>
    </w:p>
    <w:p>
      <w:pPr>
        <w:pStyle w:val="2"/>
        <w:spacing w:line="276" w:lineRule="auto"/>
        <w:ind w:firstLine="266" w:firstLineChars="100"/>
        <w:contextualSpacing/>
        <w:rPr>
          <w:rFonts w:ascii="仿宋" w:hAnsi="仿宋" w:eastAsia="仿宋" w:cs="仿宋"/>
          <w:w w:val="95"/>
          <w:sz w:val="28"/>
          <w:szCs w:val="28"/>
          <w:lang w:val="en-US"/>
        </w:rPr>
      </w:pPr>
      <w:r>
        <w:rPr>
          <w:rFonts w:hint="eastAsia" w:ascii="仿宋" w:hAnsi="仿宋" w:eastAsia="仿宋" w:cs="仿宋"/>
          <w:w w:val="95"/>
          <w:sz w:val="28"/>
          <w:szCs w:val="28"/>
          <w:lang w:val="en-US"/>
        </w:rPr>
        <w:t>2．投诉举报电话：0532-88915582、0532-88018979</w:t>
      </w:r>
    </w:p>
    <w:p>
      <w:pPr>
        <w:pStyle w:val="2"/>
        <w:spacing w:line="276" w:lineRule="auto"/>
        <w:ind w:firstLine="266" w:firstLineChars="100"/>
        <w:contextualSpacing/>
        <w:rPr>
          <w:rFonts w:ascii="仿宋" w:hAnsi="仿宋" w:eastAsia="仿宋" w:cs="仿宋"/>
          <w:w w:val="95"/>
          <w:sz w:val="28"/>
          <w:szCs w:val="28"/>
          <w:lang w:val="en-US"/>
        </w:rPr>
      </w:pPr>
      <w:r>
        <w:rPr>
          <w:rFonts w:hint="eastAsia" w:ascii="仿宋" w:hAnsi="仿宋" w:eastAsia="仿宋" w:cs="仿宋"/>
          <w:w w:val="95"/>
          <w:sz w:val="28"/>
          <w:szCs w:val="28"/>
          <w:lang w:val="en-US"/>
        </w:rPr>
        <w:t>3．网上技术支持电话：0532-85871505</w:t>
      </w:r>
    </w:p>
    <w:p>
      <w:pPr>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D40DF8"/>
    <w:multiLevelType w:val="multilevel"/>
    <w:tmpl w:val="4DD40DF8"/>
    <w:lvl w:ilvl="0" w:tentative="0">
      <w:start w:val="1"/>
      <w:numFmt w:val="decimal"/>
      <w:lvlText w:val="（%1）"/>
      <w:lvlJc w:val="left"/>
      <w:pPr>
        <w:ind w:left="252" w:hanging="528"/>
      </w:pPr>
      <w:rPr>
        <w:rFonts w:hint="default" w:ascii="宋体" w:hAnsi="宋体" w:eastAsia="宋体" w:cs="宋体"/>
        <w:spacing w:val="1"/>
        <w:w w:val="99"/>
        <w:sz w:val="28"/>
        <w:szCs w:val="28"/>
        <w:u w:val="single" w:color="000000"/>
        <w:lang w:val="en-US" w:eastAsia="zh-CN" w:bidi="ar-SA"/>
      </w:rPr>
    </w:lvl>
    <w:lvl w:ilvl="1" w:tentative="0">
      <w:start w:val="0"/>
      <w:numFmt w:val="bullet"/>
      <w:lvlText w:val="•"/>
      <w:lvlJc w:val="left"/>
      <w:pPr>
        <w:ind w:left="1258" w:hanging="528"/>
      </w:pPr>
      <w:rPr>
        <w:rFonts w:hint="default"/>
        <w:lang w:val="en-US" w:eastAsia="zh-CN" w:bidi="ar-SA"/>
      </w:rPr>
    </w:lvl>
    <w:lvl w:ilvl="2" w:tentative="0">
      <w:start w:val="0"/>
      <w:numFmt w:val="bullet"/>
      <w:lvlText w:val="•"/>
      <w:lvlJc w:val="left"/>
      <w:pPr>
        <w:ind w:left="2256" w:hanging="528"/>
      </w:pPr>
      <w:rPr>
        <w:rFonts w:hint="default"/>
        <w:lang w:val="en-US" w:eastAsia="zh-CN" w:bidi="ar-SA"/>
      </w:rPr>
    </w:lvl>
    <w:lvl w:ilvl="3" w:tentative="0">
      <w:start w:val="0"/>
      <w:numFmt w:val="bullet"/>
      <w:lvlText w:val="•"/>
      <w:lvlJc w:val="left"/>
      <w:pPr>
        <w:ind w:left="3254" w:hanging="528"/>
      </w:pPr>
      <w:rPr>
        <w:rFonts w:hint="default"/>
        <w:lang w:val="en-US" w:eastAsia="zh-CN" w:bidi="ar-SA"/>
      </w:rPr>
    </w:lvl>
    <w:lvl w:ilvl="4" w:tentative="0">
      <w:start w:val="0"/>
      <w:numFmt w:val="bullet"/>
      <w:lvlText w:val="•"/>
      <w:lvlJc w:val="left"/>
      <w:pPr>
        <w:ind w:left="4252" w:hanging="528"/>
      </w:pPr>
      <w:rPr>
        <w:rFonts w:hint="default"/>
        <w:lang w:val="en-US" w:eastAsia="zh-CN" w:bidi="ar-SA"/>
      </w:rPr>
    </w:lvl>
    <w:lvl w:ilvl="5" w:tentative="0">
      <w:start w:val="0"/>
      <w:numFmt w:val="bullet"/>
      <w:lvlText w:val="•"/>
      <w:lvlJc w:val="left"/>
      <w:pPr>
        <w:ind w:left="5250" w:hanging="528"/>
      </w:pPr>
      <w:rPr>
        <w:rFonts w:hint="default"/>
        <w:lang w:val="en-US" w:eastAsia="zh-CN" w:bidi="ar-SA"/>
      </w:rPr>
    </w:lvl>
    <w:lvl w:ilvl="6" w:tentative="0">
      <w:start w:val="0"/>
      <w:numFmt w:val="bullet"/>
      <w:lvlText w:val="•"/>
      <w:lvlJc w:val="left"/>
      <w:pPr>
        <w:ind w:left="6248" w:hanging="528"/>
      </w:pPr>
      <w:rPr>
        <w:rFonts w:hint="default"/>
        <w:lang w:val="en-US" w:eastAsia="zh-CN" w:bidi="ar-SA"/>
      </w:rPr>
    </w:lvl>
    <w:lvl w:ilvl="7" w:tentative="0">
      <w:start w:val="0"/>
      <w:numFmt w:val="bullet"/>
      <w:lvlText w:val="•"/>
      <w:lvlJc w:val="left"/>
      <w:pPr>
        <w:ind w:left="7246" w:hanging="528"/>
      </w:pPr>
      <w:rPr>
        <w:rFonts w:hint="default"/>
        <w:lang w:val="en-US" w:eastAsia="zh-CN" w:bidi="ar-SA"/>
      </w:rPr>
    </w:lvl>
    <w:lvl w:ilvl="8" w:tentative="0">
      <w:start w:val="0"/>
      <w:numFmt w:val="bullet"/>
      <w:lvlText w:val="•"/>
      <w:lvlJc w:val="left"/>
      <w:pPr>
        <w:ind w:left="8244" w:hanging="528"/>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D3BD8"/>
    <w:rsid w:val="00322AF5"/>
    <w:rsid w:val="0038361F"/>
    <w:rsid w:val="005D48FA"/>
    <w:rsid w:val="0063225B"/>
    <w:rsid w:val="006F1B94"/>
    <w:rsid w:val="007B7BCC"/>
    <w:rsid w:val="007D3BD8"/>
    <w:rsid w:val="00933C9A"/>
    <w:rsid w:val="00AD765E"/>
    <w:rsid w:val="00B45A57"/>
    <w:rsid w:val="00C077CA"/>
    <w:rsid w:val="7D9D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Arial"/>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widowControl w:val="0"/>
      <w:autoSpaceDE w:val="0"/>
      <w:autoSpaceDN w:val="0"/>
    </w:pPr>
    <w:rPr>
      <w:rFonts w:ascii="宋体" w:hAnsi="宋体" w:cs="Times New Roman"/>
      <w:sz w:val="21"/>
      <w:szCs w:val="21"/>
      <w:lang w:val="zh-CN" w:eastAsia="zh-CN"/>
    </w:rPr>
  </w:style>
  <w:style w:type="paragraph" w:styleId="3">
    <w:name w:val="footer"/>
    <w:basedOn w:val="1"/>
    <w:link w:val="8"/>
    <w:unhideWhenUsed/>
    <w:qFormat/>
    <w:uiPriority w:val="99"/>
    <w:pPr>
      <w:tabs>
        <w:tab w:val="center" w:pos="4153"/>
        <w:tab w:val="right" w:pos="8306"/>
      </w:tabs>
      <w:snapToGrid w:val="0"/>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1"/>
    <w:rPr>
      <w:rFonts w:ascii="宋体" w:hAnsi="宋体" w:eastAsia="宋体" w:cs="Times New Roman"/>
      <w:kern w:val="0"/>
      <w:szCs w:val="21"/>
      <w:lang w:val="zh-CN" w:eastAsia="zh-CN"/>
    </w:rPr>
  </w:style>
  <w:style w:type="paragraph" w:customStyle="1" w:styleId="10">
    <w:name w:val="标题 61"/>
    <w:basedOn w:val="1"/>
    <w:qFormat/>
    <w:uiPriority w:val="1"/>
    <w:pPr>
      <w:widowControl w:val="0"/>
      <w:autoSpaceDE w:val="0"/>
      <w:autoSpaceDN w:val="0"/>
      <w:ind w:left="694"/>
      <w:outlineLvl w:val="6"/>
    </w:pPr>
    <w:rPr>
      <w:rFonts w:ascii="宋体" w:hAnsi="宋体" w:cs="宋体"/>
      <w:sz w:val="22"/>
      <w:szCs w:val="22"/>
    </w:rPr>
  </w:style>
  <w:style w:type="paragraph" w:styleId="11">
    <w:name w:val="List Paragraph"/>
    <w:basedOn w:val="1"/>
    <w:qFormat/>
    <w:uiPriority w:val="1"/>
    <w:pPr>
      <w:widowControl w:val="0"/>
      <w:autoSpaceDE w:val="0"/>
      <w:autoSpaceDN w:val="0"/>
      <w:ind w:left="252" w:firstLine="420"/>
    </w:pPr>
    <w:rPr>
      <w:rFonts w:ascii="宋体" w:hAnsi="宋体" w:cs="宋体"/>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317</Words>
  <Characters>1809</Characters>
  <Lines>15</Lines>
  <Paragraphs>4</Paragraphs>
  <TotalTime>0</TotalTime>
  <ScaleCrop>false</ScaleCrop>
  <LinksUpToDate>false</LinksUpToDate>
  <CharactersWithSpaces>2122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2021-11-22T11:38:00Z</dcterms:created>
  <dc:creator>Microsoft 帐户</dc:creator>
  <cp:lastModifiedBy>南墙</cp:lastModifiedBy>
  <dcterms:modified xsi:type="dcterms:W3CDTF">2021-11-24T02:07:44Z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59478B911B804B0981C8B30E5440AF2E</vt:lpwstr>
  </property>
</Properties>
</file>